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bCs/>
          <w:sz w:val="40"/>
          <w:szCs w:val="44"/>
          <w:highlight w:val="none"/>
        </w:rPr>
      </w:pPr>
    </w:p>
    <w:p>
      <w:pPr>
        <w:jc w:val="center"/>
        <w:rPr>
          <w:rFonts w:ascii="Times New Roman" w:hAnsi="Times New Roman" w:eastAsia="宋体" w:cs="Times New Roman"/>
          <w:b/>
          <w:bCs/>
          <w:sz w:val="40"/>
          <w:szCs w:val="44"/>
          <w:highlight w:val="none"/>
        </w:rPr>
      </w:pPr>
    </w:p>
    <w:p>
      <w:pPr>
        <w:spacing w:line="360" w:lineRule="auto"/>
        <w:jc w:val="center"/>
        <w:rPr>
          <w:rFonts w:hint="eastAsia" w:ascii="Times New Roman" w:hAnsi="Times New Roman" w:eastAsia="宋体" w:cs="Times New Roman"/>
          <w:b/>
          <w:bCs/>
          <w:sz w:val="40"/>
          <w:szCs w:val="44"/>
          <w:highlight w:val="none"/>
          <w:lang w:val="en-US" w:eastAsia="zh-CN"/>
        </w:rPr>
      </w:pPr>
      <w:r>
        <w:rPr>
          <w:rFonts w:hint="eastAsia" w:ascii="Times New Roman" w:hAnsi="Times New Roman" w:eastAsia="宋体" w:cs="Times New Roman"/>
          <w:b/>
          <w:bCs/>
          <w:sz w:val="40"/>
          <w:szCs w:val="44"/>
          <w:highlight w:val="none"/>
        </w:rPr>
        <w:t>《摩托车二手车鉴定评估技术规范》</w:t>
      </w:r>
      <w:r>
        <w:rPr>
          <w:rFonts w:ascii="Times New Roman" w:hAnsi="Times New Roman" w:eastAsia="宋体" w:cs="Times New Roman"/>
          <w:b/>
          <w:bCs/>
          <w:sz w:val="40"/>
          <w:szCs w:val="44"/>
          <w:highlight w:val="none"/>
        </w:rPr>
        <w:t>团体标准</w:t>
      </w:r>
    </w:p>
    <w:p>
      <w:pPr>
        <w:jc w:val="center"/>
        <w:rPr>
          <w:rFonts w:ascii="Times New Roman" w:hAnsi="Times New Roman" w:eastAsia="宋体" w:cs="Times New Roman"/>
          <w:b/>
          <w:bCs/>
          <w:sz w:val="40"/>
          <w:szCs w:val="44"/>
          <w:highlight w:val="none"/>
        </w:rPr>
      </w:pPr>
    </w:p>
    <w:p>
      <w:pPr>
        <w:jc w:val="center"/>
        <w:rPr>
          <w:rFonts w:ascii="Times New Roman" w:hAnsi="Times New Roman" w:eastAsia="宋体" w:cs="Times New Roman"/>
          <w:b/>
          <w:bCs/>
          <w:sz w:val="40"/>
          <w:szCs w:val="44"/>
          <w:highlight w:val="none"/>
        </w:rPr>
      </w:pPr>
    </w:p>
    <w:p>
      <w:pPr>
        <w:jc w:val="center"/>
        <w:rPr>
          <w:rFonts w:ascii="Times New Roman" w:hAnsi="Times New Roman" w:eastAsia="宋体" w:cs="Times New Roman"/>
          <w:b/>
          <w:bCs/>
          <w:sz w:val="40"/>
          <w:szCs w:val="44"/>
          <w:highlight w:val="none"/>
        </w:rPr>
      </w:pPr>
    </w:p>
    <w:p>
      <w:pPr>
        <w:jc w:val="center"/>
        <w:rPr>
          <w:rFonts w:ascii="Times New Roman" w:hAnsi="Times New Roman" w:eastAsia="宋体" w:cs="Times New Roman"/>
          <w:b/>
          <w:bCs/>
          <w:sz w:val="40"/>
          <w:szCs w:val="44"/>
          <w:highlight w:val="none"/>
        </w:rPr>
      </w:pPr>
      <w:r>
        <w:rPr>
          <w:rFonts w:ascii="Times New Roman" w:hAnsi="Times New Roman" w:eastAsia="宋体" w:cs="Times New Roman"/>
          <w:b/>
          <w:bCs/>
          <w:sz w:val="40"/>
          <w:szCs w:val="44"/>
          <w:highlight w:val="none"/>
        </w:rPr>
        <w:t>编制说明</w:t>
      </w:r>
    </w:p>
    <w:p>
      <w:pPr>
        <w:jc w:val="center"/>
        <w:rPr>
          <w:rFonts w:ascii="Times New Roman" w:hAnsi="Times New Roman" w:eastAsia="宋体" w:cs="Times New Roman"/>
          <w:b/>
          <w:bCs/>
          <w:sz w:val="40"/>
          <w:szCs w:val="44"/>
          <w:highlight w:val="none"/>
        </w:rPr>
      </w:pPr>
    </w:p>
    <w:p>
      <w:pPr>
        <w:jc w:val="center"/>
        <w:rPr>
          <w:rFonts w:ascii="Times New Roman" w:hAnsi="Times New Roman" w:eastAsia="宋体" w:cs="Times New Roman"/>
          <w:b/>
          <w:bCs/>
          <w:sz w:val="28"/>
          <w:szCs w:val="32"/>
          <w:highlight w:val="none"/>
        </w:rPr>
      </w:pPr>
      <w:r>
        <w:rPr>
          <w:rFonts w:ascii="Times New Roman" w:hAnsi="Times New Roman" w:eastAsia="宋体" w:cs="Times New Roman"/>
          <w:b/>
          <w:bCs/>
          <w:sz w:val="28"/>
          <w:szCs w:val="32"/>
          <w:highlight w:val="none"/>
        </w:rPr>
        <w:t>（征求意见稿）</w:t>
      </w:r>
    </w:p>
    <w:p>
      <w:pPr>
        <w:jc w:val="center"/>
        <w:rPr>
          <w:rFonts w:ascii="Times New Roman" w:hAnsi="Times New Roman" w:eastAsia="宋体" w:cs="Times New Roman"/>
          <w:b/>
          <w:bCs/>
          <w:sz w:val="28"/>
          <w:szCs w:val="32"/>
          <w:highlight w:val="none"/>
        </w:rPr>
      </w:pPr>
    </w:p>
    <w:p>
      <w:pPr>
        <w:jc w:val="center"/>
        <w:rPr>
          <w:rFonts w:ascii="Times New Roman" w:hAnsi="Times New Roman" w:eastAsia="宋体" w:cs="Times New Roman"/>
          <w:b/>
          <w:bCs/>
          <w:sz w:val="28"/>
          <w:szCs w:val="32"/>
          <w:highlight w:val="none"/>
        </w:rPr>
      </w:pPr>
    </w:p>
    <w:p>
      <w:pPr>
        <w:jc w:val="center"/>
        <w:rPr>
          <w:rFonts w:ascii="Times New Roman" w:hAnsi="Times New Roman" w:eastAsia="宋体" w:cs="Times New Roman"/>
          <w:b/>
          <w:bCs/>
          <w:sz w:val="28"/>
          <w:szCs w:val="32"/>
          <w:highlight w:val="none"/>
        </w:rPr>
      </w:pPr>
    </w:p>
    <w:p>
      <w:pPr>
        <w:jc w:val="center"/>
        <w:rPr>
          <w:rFonts w:ascii="Times New Roman" w:hAnsi="Times New Roman" w:eastAsia="宋体" w:cs="Times New Roman"/>
          <w:b/>
          <w:bCs/>
          <w:sz w:val="28"/>
          <w:szCs w:val="32"/>
          <w:highlight w:val="none"/>
        </w:rPr>
      </w:pPr>
    </w:p>
    <w:p>
      <w:pPr>
        <w:jc w:val="center"/>
        <w:rPr>
          <w:rFonts w:ascii="Times New Roman" w:hAnsi="Times New Roman" w:eastAsia="宋体" w:cs="Times New Roman"/>
          <w:b/>
          <w:bCs/>
          <w:sz w:val="28"/>
          <w:szCs w:val="32"/>
          <w:highlight w:val="none"/>
        </w:rPr>
      </w:pPr>
    </w:p>
    <w:p>
      <w:pPr>
        <w:jc w:val="center"/>
        <w:rPr>
          <w:rFonts w:ascii="Times New Roman" w:hAnsi="Times New Roman" w:eastAsia="宋体" w:cs="Times New Roman"/>
          <w:b/>
          <w:bCs/>
          <w:sz w:val="28"/>
          <w:szCs w:val="32"/>
          <w:highlight w:val="none"/>
        </w:rPr>
      </w:pPr>
    </w:p>
    <w:p>
      <w:pPr>
        <w:jc w:val="center"/>
        <w:rPr>
          <w:rFonts w:ascii="Times New Roman" w:hAnsi="Times New Roman" w:eastAsia="宋体" w:cs="Times New Roman"/>
          <w:b/>
          <w:bCs/>
          <w:sz w:val="28"/>
          <w:szCs w:val="32"/>
          <w:highlight w:val="none"/>
        </w:rPr>
      </w:pPr>
    </w:p>
    <w:p>
      <w:pPr>
        <w:jc w:val="center"/>
        <w:rPr>
          <w:rFonts w:ascii="Times New Roman" w:hAnsi="Times New Roman" w:eastAsia="宋体" w:cs="Times New Roman"/>
          <w:b/>
          <w:bCs/>
          <w:sz w:val="28"/>
          <w:szCs w:val="32"/>
          <w:highlight w:val="none"/>
        </w:rPr>
      </w:pPr>
    </w:p>
    <w:p>
      <w:pPr>
        <w:jc w:val="center"/>
        <w:rPr>
          <w:rFonts w:ascii="Times New Roman" w:hAnsi="Times New Roman" w:eastAsia="宋体" w:cs="Times New Roman"/>
          <w:b/>
          <w:bCs/>
          <w:sz w:val="28"/>
          <w:szCs w:val="32"/>
          <w:highlight w:val="none"/>
        </w:rPr>
      </w:pPr>
    </w:p>
    <w:p>
      <w:pPr>
        <w:jc w:val="center"/>
        <w:rPr>
          <w:rFonts w:ascii="Times New Roman" w:hAnsi="Times New Roman" w:eastAsia="宋体" w:cs="Times New Roman"/>
          <w:b/>
          <w:bCs/>
          <w:sz w:val="28"/>
          <w:szCs w:val="32"/>
          <w:highlight w:val="none"/>
        </w:rPr>
      </w:pPr>
      <w:r>
        <w:rPr>
          <w:rFonts w:ascii="Times New Roman" w:hAnsi="Times New Roman" w:eastAsia="宋体" w:cs="Times New Roman"/>
          <w:b/>
          <w:bCs/>
          <w:sz w:val="28"/>
          <w:szCs w:val="32"/>
          <w:highlight w:val="none"/>
        </w:rPr>
        <w:t>天津内燃机研究所（天津摩托车技术中心）</w:t>
      </w:r>
    </w:p>
    <w:p>
      <w:pPr>
        <w:jc w:val="center"/>
        <w:rPr>
          <w:rFonts w:ascii="Times New Roman" w:hAnsi="Times New Roman" w:eastAsia="宋体" w:cs="Times New Roman"/>
          <w:b/>
          <w:bCs/>
          <w:sz w:val="28"/>
          <w:szCs w:val="32"/>
          <w:highlight w:val="none"/>
        </w:rPr>
      </w:pPr>
      <w:r>
        <w:rPr>
          <w:rFonts w:ascii="Times New Roman" w:hAnsi="Times New Roman" w:eastAsia="宋体" w:cs="Times New Roman"/>
          <w:b/>
          <w:bCs/>
          <w:sz w:val="28"/>
          <w:szCs w:val="32"/>
          <w:highlight w:val="none"/>
        </w:rPr>
        <w:t>202</w:t>
      </w:r>
      <w:r>
        <w:rPr>
          <w:rFonts w:hint="eastAsia" w:ascii="Times New Roman" w:hAnsi="Times New Roman" w:eastAsia="宋体" w:cs="Times New Roman"/>
          <w:b/>
          <w:bCs/>
          <w:sz w:val="28"/>
          <w:szCs w:val="32"/>
          <w:highlight w:val="none"/>
          <w:lang w:val="en-US" w:eastAsia="zh-CN"/>
        </w:rPr>
        <w:t>3</w:t>
      </w:r>
      <w:r>
        <w:rPr>
          <w:rFonts w:ascii="Times New Roman" w:hAnsi="Times New Roman" w:eastAsia="宋体" w:cs="Times New Roman"/>
          <w:b/>
          <w:bCs/>
          <w:sz w:val="28"/>
          <w:szCs w:val="32"/>
          <w:highlight w:val="none"/>
        </w:rPr>
        <w:t>年</w:t>
      </w:r>
      <w:r>
        <w:rPr>
          <w:rFonts w:hint="eastAsia" w:ascii="Times New Roman" w:hAnsi="Times New Roman" w:eastAsia="宋体" w:cs="Times New Roman"/>
          <w:b/>
          <w:bCs/>
          <w:sz w:val="28"/>
          <w:szCs w:val="32"/>
          <w:highlight w:val="none"/>
          <w:lang w:val="en-US" w:eastAsia="zh-CN"/>
        </w:rPr>
        <w:t>11</w:t>
      </w:r>
      <w:r>
        <w:rPr>
          <w:rFonts w:ascii="Times New Roman" w:hAnsi="Times New Roman" w:eastAsia="宋体" w:cs="Times New Roman"/>
          <w:b/>
          <w:bCs/>
          <w:sz w:val="28"/>
          <w:szCs w:val="32"/>
          <w:highlight w:val="none"/>
        </w:rPr>
        <w:t>月</w:t>
      </w:r>
    </w:p>
    <w:p>
      <w:pPr>
        <w:widowControl/>
        <w:jc w:val="left"/>
        <w:rPr>
          <w:rFonts w:ascii="Times New Roman" w:hAnsi="Times New Roman" w:eastAsia="宋体" w:cs="Times New Roman"/>
          <w:b/>
          <w:bCs/>
          <w:sz w:val="28"/>
          <w:szCs w:val="32"/>
          <w:highlight w:val="none"/>
        </w:rPr>
      </w:pPr>
      <w:r>
        <w:rPr>
          <w:rFonts w:ascii="Times New Roman" w:hAnsi="Times New Roman" w:eastAsia="宋体" w:cs="Times New Roman"/>
          <w:b/>
          <w:bCs/>
          <w:sz w:val="28"/>
          <w:szCs w:val="32"/>
          <w:highlight w:val="none"/>
        </w:rPr>
        <w:br w:type="page"/>
      </w:r>
    </w:p>
    <w:p>
      <w:pPr>
        <w:jc w:val="center"/>
        <w:rPr>
          <w:rFonts w:ascii="Times New Roman" w:hAnsi="Times New Roman" w:eastAsia="宋体" w:cs="Times New Roman"/>
          <w:b/>
          <w:sz w:val="30"/>
          <w:szCs w:val="30"/>
          <w:highlight w:val="none"/>
        </w:rPr>
      </w:pPr>
      <w:r>
        <w:rPr>
          <w:rFonts w:hint="eastAsia" w:ascii="Times New Roman" w:hAnsi="Times New Roman" w:eastAsia="宋体" w:cs="Times New Roman"/>
          <w:b/>
          <w:sz w:val="30"/>
          <w:szCs w:val="30"/>
          <w:highlight w:val="none"/>
        </w:rPr>
        <w:t>摩托车二手车鉴定评估技术规范</w:t>
      </w:r>
      <w:r>
        <w:rPr>
          <w:rFonts w:ascii="Times New Roman" w:hAnsi="Times New Roman" w:eastAsia="宋体" w:cs="Times New Roman"/>
          <w:b/>
          <w:sz w:val="30"/>
          <w:szCs w:val="30"/>
          <w:highlight w:val="none"/>
        </w:rPr>
        <w:t>（征求意见稿）</w:t>
      </w:r>
    </w:p>
    <w:p>
      <w:pPr>
        <w:jc w:val="center"/>
        <w:rPr>
          <w:rFonts w:ascii="Times New Roman" w:hAnsi="Times New Roman" w:eastAsia="宋体" w:cs="Times New Roman"/>
          <w:b/>
          <w:sz w:val="30"/>
          <w:szCs w:val="30"/>
          <w:highlight w:val="none"/>
        </w:rPr>
      </w:pPr>
      <w:r>
        <w:rPr>
          <w:rFonts w:ascii="Times New Roman" w:hAnsi="Times New Roman" w:eastAsia="宋体" w:cs="Times New Roman"/>
          <w:b/>
          <w:sz w:val="30"/>
          <w:szCs w:val="30"/>
          <w:highlight w:val="none"/>
        </w:rPr>
        <w:t>编制说明</w:t>
      </w:r>
    </w:p>
    <w:p>
      <w:pPr>
        <w:pStyle w:val="16"/>
        <w:numPr>
          <w:ilvl w:val="0"/>
          <w:numId w:val="1"/>
        </w:numPr>
        <w:spacing w:line="360" w:lineRule="auto"/>
        <w:ind w:firstLineChars="0"/>
        <w:jc w:val="left"/>
        <w:rPr>
          <w:rFonts w:ascii="Times New Roman" w:hAnsi="Times New Roman" w:eastAsia="黑体" w:cs="Times New Roman"/>
          <w:sz w:val="24"/>
          <w:szCs w:val="24"/>
          <w:highlight w:val="none"/>
        </w:rPr>
      </w:pPr>
      <w:r>
        <w:rPr>
          <w:rFonts w:ascii="Times New Roman" w:hAnsi="Times New Roman" w:eastAsia="黑体" w:cs="Times New Roman"/>
          <w:sz w:val="24"/>
          <w:szCs w:val="24"/>
          <w:highlight w:val="none"/>
        </w:rPr>
        <w:t>工作简况</w:t>
      </w:r>
    </w:p>
    <w:p>
      <w:pPr>
        <w:pStyle w:val="16"/>
        <w:numPr>
          <w:ilvl w:val="1"/>
          <w:numId w:val="1"/>
        </w:numPr>
        <w:spacing w:line="360" w:lineRule="auto"/>
        <w:ind w:firstLineChars="0"/>
        <w:jc w:val="left"/>
        <w:rPr>
          <w:rFonts w:ascii="Times New Roman" w:hAnsi="Times New Roman" w:eastAsia="黑体" w:cs="Times New Roman"/>
          <w:sz w:val="24"/>
          <w:szCs w:val="24"/>
          <w:highlight w:val="none"/>
        </w:rPr>
      </w:pPr>
      <w:r>
        <w:rPr>
          <w:rFonts w:ascii="Times New Roman" w:hAnsi="Times New Roman" w:eastAsia="黑体" w:cs="Times New Roman"/>
          <w:sz w:val="24"/>
          <w:szCs w:val="24"/>
          <w:highlight w:val="none"/>
        </w:rPr>
        <w:t>任务来源</w:t>
      </w:r>
    </w:p>
    <w:p>
      <w:pPr>
        <w:pStyle w:val="16"/>
        <w:spacing w:line="360" w:lineRule="auto"/>
        <w:ind w:firstLine="48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本标准任务来源于中国摩托车商会202</w:t>
      </w:r>
      <w:r>
        <w:rPr>
          <w:rFonts w:hint="eastAsia" w:ascii="Times New Roman" w:hAnsi="Times New Roman" w:eastAsia="宋体" w:cs="Times New Roman"/>
          <w:sz w:val="24"/>
          <w:szCs w:val="24"/>
          <w:highlight w:val="none"/>
          <w:lang w:val="en-US" w:eastAsia="zh-CN"/>
        </w:rPr>
        <w:t>2</w:t>
      </w:r>
      <w:r>
        <w:rPr>
          <w:rFonts w:ascii="Times New Roman" w:hAnsi="Times New Roman" w:eastAsia="宋体" w:cs="Times New Roman"/>
          <w:sz w:val="24"/>
          <w:szCs w:val="24"/>
          <w:highlight w:val="none"/>
        </w:rPr>
        <w:t>年</w:t>
      </w:r>
      <w:r>
        <w:rPr>
          <w:rFonts w:hint="eastAsia" w:ascii="Times New Roman" w:hAnsi="Times New Roman" w:eastAsia="宋体" w:cs="Times New Roman"/>
          <w:sz w:val="24"/>
          <w:szCs w:val="24"/>
          <w:highlight w:val="none"/>
          <w:lang w:val="en-US" w:eastAsia="zh-CN"/>
        </w:rPr>
        <w:t>4</w:t>
      </w:r>
      <w:r>
        <w:rPr>
          <w:rFonts w:ascii="Times New Roman" w:hAnsi="Times New Roman" w:eastAsia="宋体" w:cs="Times New Roman"/>
          <w:sz w:val="24"/>
          <w:szCs w:val="24"/>
          <w:highlight w:val="none"/>
        </w:rPr>
        <w:t>月1</w:t>
      </w:r>
      <w:r>
        <w:rPr>
          <w:rFonts w:hint="eastAsia" w:ascii="Times New Roman" w:hAnsi="Times New Roman" w:eastAsia="宋体" w:cs="Times New Roman"/>
          <w:sz w:val="24"/>
          <w:szCs w:val="24"/>
          <w:highlight w:val="none"/>
          <w:lang w:val="en-US" w:eastAsia="zh-CN"/>
        </w:rPr>
        <w:t>4</w:t>
      </w:r>
      <w:r>
        <w:rPr>
          <w:rFonts w:ascii="Times New Roman" w:hAnsi="Times New Roman" w:eastAsia="宋体" w:cs="Times New Roman"/>
          <w:sz w:val="24"/>
          <w:szCs w:val="24"/>
          <w:highlight w:val="none"/>
        </w:rPr>
        <w:t>日下发的中摩商通[202</w:t>
      </w:r>
      <w:r>
        <w:rPr>
          <w:rFonts w:hint="eastAsia" w:ascii="Times New Roman" w:hAnsi="Times New Roman" w:eastAsia="宋体" w:cs="Times New Roman"/>
          <w:sz w:val="24"/>
          <w:szCs w:val="24"/>
          <w:highlight w:val="none"/>
          <w:lang w:val="en-US" w:eastAsia="zh-CN"/>
        </w:rPr>
        <w:t>2</w:t>
      </w:r>
      <w:r>
        <w:rPr>
          <w:rFonts w:ascii="Times New Roman" w:hAnsi="Times New Roman" w:eastAsia="宋体" w:cs="Times New Roman"/>
          <w:sz w:val="24"/>
          <w:szCs w:val="24"/>
          <w:highlight w:val="none"/>
        </w:rPr>
        <w:t>]</w:t>
      </w:r>
      <w:r>
        <w:rPr>
          <w:rFonts w:hint="eastAsia" w:ascii="Times New Roman" w:hAnsi="Times New Roman" w:eastAsia="宋体" w:cs="Times New Roman"/>
          <w:sz w:val="24"/>
          <w:szCs w:val="24"/>
          <w:highlight w:val="none"/>
          <w:lang w:val="en-US" w:eastAsia="zh-CN"/>
        </w:rPr>
        <w:t>17</w:t>
      </w:r>
      <w:r>
        <w:rPr>
          <w:rFonts w:ascii="Times New Roman" w:hAnsi="Times New Roman" w:eastAsia="宋体" w:cs="Times New Roman"/>
          <w:sz w:val="24"/>
          <w:szCs w:val="24"/>
          <w:highlight w:val="none"/>
        </w:rPr>
        <w:t>号《</w:t>
      </w:r>
      <w:r>
        <w:rPr>
          <w:rFonts w:hint="eastAsia" w:ascii="Times New Roman" w:hAnsi="Times New Roman" w:eastAsia="宋体" w:cs="Times New Roman"/>
          <w:sz w:val="24"/>
          <w:szCs w:val="24"/>
          <w:highlight w:val="none"/>
        </w:rPr>
        <w:t>关于下达2022年第一批团体标准制订计划的通知</w:t>
      </w:r>
      <w:r>
        <w:rPr>
          <w:rFonts w:ascii="Times New Roman" w:hAnsi="Times New Roman" w:eastAsia="宋体" w:cs="Times New Roman"/>
          <w:sz w:val="24"/>
          <w:szCs w:val="24"/>
          <w:highlight w:val="none"/>
        </w:rPr>
        <w:t>》，计划编号</w:t>
      </w:r>
      <w:r>
        <w:rPr>
          <w:rFonts w:hint="eastAsia" w:ascii="Times New Roman" w:hAnsi="Times New Roman" w:eastAsia="宋体" w:cs="Times New Roman"/>
          <w:sz w:val="24"/>
          <w:szCs w:val="24"/>
          <w:highlight w:val="none"/>
        </w:rPr>
        <w:t>为“</w:t>
      </w:r>
      <w:r>
        <w:rPr>
          <w:rFonts w:hint="eastAsia" w:ascii="Times New Roman" w:hAnsi="Times New Roman" w:eastAsia="宋体" w:cs="Times New Roman"/>
          <w:sz w:val="24"/>
          <w:szCs w:val="24"/>
          <w:highlight w:val="none"/>
          <w:lang w:val="en-US" w:eastAsia="zh-CN"/>
        </w:rPr>
        <w:t>2022-2</w:t>
      </w: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w:t>
      </w:r>
    </w:p>
    <w:p>
      <w:pPr>
        <w:pStyle w:val="16"/>
        <w:spacing w:line="360" w:lineRule="auto"/>
        <w:ind w:firstLine="48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本标准</w:t>
      </w:r>
      <w:r>
        <w:rPr>
          <w:rFonts w:hint="eastAsia" w:ascii="Times New Roman" w:hAnsi="Times New Roman" w:eastAsia="宋体" w:cs="Times New Roman"/>
          <w:sz w:val="24"/>
          <w:szCs w:val="24"/>
          <w:highlight w:val="none"/>
          <w:lang w:val="en-US" w:eastAsia="zh-CN"/>
        </w:rPr>
        <w:t>起草</w:t>
      </w:r>
      <w:r>
        <w:rPr>
          <w:rFonts w:ascii="Times New Roman" w:hAnsi="Times New Roman" w:eastAsia="宋体" w:cs="Times New Roman"/>
          <w:sz w:val="24"/>
          <w:szCs w:val="24"/>
          <w:highlight w:val="none"/>
        </w:rPr>
        <w:t>单位为天津内燃机研究所（天津摩托车技术中心）</w:t>
      </w:r>
      <w:r>
        <w:rPr>
          <w:rFonts w:hint="eastAsia" w:ascii="Times New Roman" w:hAnsi="Times New Roman" w:eastAsia="宋体" w:cs="Times New Roman"/>
          <w:sz w:val="24"/>
          <w:szCs w:val="24"/>
          <w:highlight w:val="none"/>
          <w:lang w:val="en-US" w:eastAsia="zh-CN"/>
        </w:rPr>
        <w:t>等</w:t>
      </w:r>
      <w:r>
        <w:rPr>
          <w:rFonts w:ascii="Times New Roman" w:hAnsi="Times New Roman" w:eastAsia="宋体" w:cs="Times New Roman"/>
          <w:sz w:val="24"/>
          <w:szCs w:val="24"/>
          <w:highlight w:val="none"/>
        </w:rPr>
        <w:t>。</w:t>
      </w:r>
    </w:p>
    <w:p>
      <w:pPr>
        <w:pStyle w:val="16"/>
        <w:numPr>
          <w:ilvl w:val="1"/>
          <w:numId w:val="1"/>
        </w:numPr>
        <w:spacing w:line="360" w:lineRule="auto"/>
        <w:ind w:firstLineChars="0"/>
        <w:jc w:val="left"/>
        <w:rPr>
          <w:rFonts w:ascii="Times New Roman" w:hAnsi="Times New Roman" w:eastAsia="黑体" w:cs="Times New Roman"/>
          <w:sz w:val="24"/>
          <w:szCs w:val="24"/>
          <w:highlight w:val="none"/>
        </w:rPr>
      </w:pPr>
      <w:r>
        <w:rPr>
          <w:rFonts w:ascii="Times New Roman" w:hAnsi="Times New Roman" w:eastAsia="黑体" w:cs="Times New Roman"/>
          <w:sz w:val="24"/>
          <w:szCs w:val="24"/>
          <w:highlight w:val="none"/>
        </w:rPr>
        <w:t>标准制定背景</w:t>
      </w:r>
    </w:p>
    <w:p>
      <w:pPr>
        <w:widowControl/>
        <w:spacing w:line="360" w:lineRule="auto"/>
        <w:ind w:firstLine="480" w:firstLineChars="200"/>
        <w:jc w:val="left"/>
        <w:rPr>
          <w:rFonts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摩托车产品作为主要的交通工具满足了人们日常生活和交通出行的需要。目前，中国摩托车保有量已超过1亿辆。近几年，摩托车市场逐渐升温，自2</w:t>
      </w:r>
      <w:r>
        <w:rPr>
          <w:rFonts w:ascii="Times New Roman" w:hAnsi="Times New Roman" w:eastAsia="宋体" w:cs="Times New Roman"/>
          <w:kern w:val="2"/>
          <w:sz w:val="24"/>
          <w:szCs w:val="24"/>
          <w:highlight w:val="none"/>
          <w:lang w:val="en-US" w:eastAsia="zh-CN" w:bidi="ar-SA"/>
        </w:rPr>
        <w:t>017</w:t>
      </w:r>
      <w:r>
        <w:rPr>
          <w:rFonts w:hint="eastAsia" w:ascii="Times New Roman" w:hAnsi="Times New Roman" w:eastAsia="宋体" w:cs="Times New Roman"/>
          <w:kern w:val="2"/>
          <w:sz w:val="24"/>
          <w:szCs w:val="24"/>
          <w:highlight w:val="none"/>
          <w:lang w:val="en-US" w:eastAsia="zh-CN" w:bidi="ar-SA"/>
        </w:rPr>
        <w:t>年之后，年产销量均超过1</w:t>
      </w:r>
      <w:r>
        <w:rPr>
          <w:rFonts w:ascii="Times New Roman" w:hAnsi="Times New Roman" w:eastAsia="宋体" w:cs="Times New Roman"/>
          <w:kern w:val="2"/>
          <w:sz w:val="24"/>
          <w:szCs w:val="24"/>
          <w:highlight w:val="none"/>
          <w:lang w:val="en-US" w:eastAsia="zh-CN" w:bidi="ar-SA"/>
        </w:rPr>
        <w:t>500</w:t>
      </w:r>
      <w:r>
        <w:rPr>
          <w:rFonts w:hint="eastAsia" w:ascii="Times New Roman" w:hAnsi="Times New Roman" w:eastAsia="宋体" w:cs="Times New Roman"/>
          <w:kern w:val="2"/>
          <w:sz w:val="24"/>
          <w:szCs w:val="24"/>
          <w:highlight w:val="none"/>
          <w:lang w:val="en-US" w:eastAsia="zh-CN" w:bidi="ar-SA"/>
        </w:rPr>
        <w:t>万辆。摩托车产销量不断攀升的同时，其二手车市场也在快速发展。据中国摩托车商会数据显示，截至2021年底，全国摩托车二手车当年交易量已超过2</w:t>
      </w:r>
      <w:r>
        <w:rPr>
          <w:rFonts w:ascii="Times New Roman" w:hAnsi="Times New Roman" w:eastAsia="宋体" w:cs="Times New Roman"/>
          <w:kern w:val="2"/>
          <w:sz w:val="24"/>
          <w:szCs w:val="24"/>
          <w:highlight w:val="none"/>
          <w:lang w:val="en-US" w:eastAsia="zh-CN" w:bidi="ar-SA"/>
        </w:rPr>
        <w:t>00</w:t>
      </w:r>
      <w:r>
        <w:rPr>
          <w:rFonts w:hint="eastAsia" w:ascii="Times New Roman" w:hAnsi="Times New Roman" w:eastAsia="宋体" w:cs="Times New Roman"/>
          <w:kern w:val="2"/>
          <w:sz w:val="24"/>
          <w:szCs w:val="24"/>
          <w:highlight w:val="none"/>
          <w:lang w:val="en-US" w:eastAsia="zh-CN" w:bidi="ar-SA"/>
        </w:rPr>
        <w:t>万辆，其中，排量≤2</w:t>
      </w:r>
      <w:r>
        <w:rPr>
          <w:rFonts w:ascii="Times New Roman" w:hAnsi="Times New Roman" w:eastAsia="宋体" w:cs="Times New Roman"/>
          <w:kern w:val="2"/>
          <w:sz w:val="24"/>
          <w:szCs w:val="24"/>
          <w:highlight w:val="none"/>
          <w:lang w:val="en-US" w:eastAsia="zh-CN" w:bidi="ar-SA"/>
        </w:rPr>
        <w:t>50</w:t>
      </w:r>
      <w:r>
        <w:rPr>
          <w:rFonts w:hint="eastAsia" w:ascii="Times New Roman" w:hAnsi="Times New Roman" w:eastAsia="宋体" w:cs="Times New Roman"/>
          <w:kern w:val="2"/>
          <w:sz w:val="24"/>
          <w:szCs w:val="24"/>
          <w:highlight w:val="none"/>
          <w:lang w:val="en-US" w:eastAsia="zh-CN" w:bidi="ar-SA"/>
        </w:rPr>
        <w:t>mL的国产二手车约1</w:t>
      </w:r>
      <w:r>
        <w:rPr>
          <w:rFonts w:ascii="Times New Roman" w:hAnsi="Times New Roman" w:eastAsia="宋体" w:cs="Times New Roman"/>
          <w:kern w:val="2"/>
          <w:sz w:val="24"/>
          <w:szCs w:val="24"/>
          <w:highlight w:val="none"/>
          <w:lang w:val="en-US" w:eastAsia="zh-CN" w:bidi="ar-SA"/>
        </w:rPr>
        <w:t>45</w:t>
      </w:r>
      <w:r>
        <w:rPr>
          <w:rFonts w:hint="eastAsia" w:ascii="Times New Roman" w:hAnsi="Times New Roman" w:eastAsia="宋体" w:cs="Times New Roman"/>
          <w:kern w:val="2"/>
          <w:sz w:val="24"/>
          <w:szCs w:val="24"/>
          <w:highlight w:val="none"/>
          <w:lang w:val="en-US" w:eastAsia="zh-CN" w:bidi="ar-SA"/>
        </w:rPr>
        <w:t>万辆、排量＞2</w:t>
      </w:r>
      <w:r>
        <w:rPr>
          <w:rFonts w:ascii="Times New Roman" w:hAnsi="Times New Roman" w:eastAsia="宋体" w:cs="Times New Roman"/>
          <w:kern w:val="2"/>
          <w:sz w:val="24"/>
          <w:szCs w:val="24"/>
          <w:highlight w:val="none"/>
          <w:lang w:val="en-US" w:eastAsia="zh-CN" w:bidi="ar-SA"/>
        </w:rPr>
        <w:t>50</w:t>
      </w:r>
      <w:r>
        <w:rPr>
          <w:rFonts w:hint="eastAsia" w:ascii="Times New Roman" w:hAnsi="Times New Roman" w:eastAsia="宋体" w:cs="Times New Roman"/>
          <w:kern w:val="2"/>
          <w:sz w:val="24"/>
          <w:szCs w:val="24"/>
          <w:highlight w:val="none"/>
          <w:lang w:val="en-US" w:eastAsia="zh-CN" w:bidi="ar-SA"/>
        </w:rPr>
        <w:t>mL的国产二手车约4</w:t>
      </w:r>
      <w:r>
        <w:rPr>
          <w:rFonts w:ascii="Times New Roman" w:hAnsi="Times New Roman" w:eastAsia="宋体" w:cs="Times New Roman"/>
          <w:kern w:val="2"/>
          <w:sz w:val="24"/>
          <w:szCs w:val="24"/>
          <w:highlight w:val="none"/>
          <w:lang w:val="en-US" w:eastAsia="zh-CN" w:bidi="ar-SA"/>
        </w:rPr>
        <w:t>0</w:t>
      </w:r>
      <w:r>
        <w:rPr>
          <w:rFonts w:hint="eastAsia" w:ascii="Times New Roman" w:hAnsi="Times New Roman" w:eastAsia="宋体" w:cs="Times New Roman"/>
          <w:kern w:val="2"/>
          <w:sz w:val="24"/>
          <w:szCs w:val="24"/>
          <w:highlight w:val="none"/>
          <w:lang w:val="en-US" w:eastAsia="zh-CN" w:bidi="ar-SA"/>
        </w:rPr>
        <w:t>万辆、排量＞2</w:t>
      </w:r>
      <w:r>
        <w:rPr>
          <w:rFonts w:ascii="Times New Roman" w:hAnsi="Times New Roman" w:eastAsia="宋体" w:cs="Times New Roman"/>
          <w:kern w:val="2"/>
          <w:sz w:val="24"/>
          <w:szCs w:val="24"/>
          <w:highlight w:val="none"/>
          <w:lang w:val="en-US" w:eastAsia="zh-CN" w:bidi="ar-SA"/>
        </w:rPr>
        <w:t>50</w:t>
      </w:r>
      <w:r>
        <w:rPr>
          <w:rFonts w:hint="eastAsia" w:ascii="Times New Roman" w:hAnsi="Times New Roman" w:eastAsia="宋体" w:cs="Times New Roman"/>
          <w:kern w:val="2"/>
          <w:sz w:val="24"/>
          <w:szCs w:val="24"/>
          <w:highlight w:val="none"/>
          <w:lang w:val="en-US" w:eastAsia="zh-CN" w:bidi="ar-SA"/>
        </w:rPr>
        <w:t>mL的进口二手车1</w:t>
      </w:r>
      <w:r>
        <w:rPr>
          <w:rFonts w:ascii="Times New Roman" w:hAnsi="Times New Roman" w:eastAsia="宋体" w:cs="Times New Roman"/>
          <w:kern w:val="2"/>
          <w:sz w:val="24"/>
          <w:szCs w:val="24"/>
          <w:highlight w:val="none"/>
          <w:lang w:val="en-US" w:eastAsia="zh-CN" w:bidi="ar-SA"/>
        </w:rPr>
        <w:t>8</w:t>
      </w:r>
      <w:r>
        <w:rPr>
          <w:rFonts w:hint="eastAsia" w:ascii="Times New Roman" w:hAnsi="Times New Roman" w:eastAsia="宋体" w:cs="Times New Roman"/>
          <w:kern w:val="2"/>
          <w:sz w:val="24"/>
          <w:szCs w:val="24"/>
          <w:highlight w:val="none"/>
          <w:lang w:val="en-US" w:eastAsia="zh-CN" w:bidi="ar-SA"/>
        </w:rPr>
        <w:t>约万辆。摩托车二手业务和市场不断增长。</w:t>
      </w:r>
    </w:p>
    <w:p>
      <w:pPr>
        <w:widowControl/>
        <w:spacing w:line="360" w:lineRule="auto"/>
        <w:jc w:val="center"/>
        <w:rPr>
          <w:rFonts w:hint="eastAsia" w:asciiTheme="minorEastAsia" w:hAnsiTheme="minorEastAsia" w:eastAsiaTheme="minorEastAsia"/>
          <w:kern w:val="0"/>
          <w:sz w:val="24"/>
          <w:highlight w:val="none"/>
          <w:lang w:eastAsia="zh-CN"/>
        </w:rPr>
      </w:pPr>
      <w:r>
        <w:rPr>
          <w:rFonts w:hint="eastAsia" w:asciiTheme="minorEastAsia" w:hAnsiTheme="minorEastAsia" w:eastAsiaTheme="minorEastAsia"/>
          <w:kern w:val="0"/>
          <w:sz w:val="24"/>
          <w:highlight w:val="none"/>
          <w:lang w:eastAsia="zh-CN"/>
        </w:rPr>
        <w:drawing>
          <wp:inline distT="0" distB="0" distL="114300" distR="114300">
            <wp:extent cx="5266055" cy="2533015"/>
            <wp:effectExtent l="0" t="0" r="0" b="6985"/>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4"/>
                    <a:stretch>
                      <a:fillRect/>
                    </a:stretch>
                  </pic:blipFill>
                  <pic:spPr>
                    <a:xfrm>
                      <a:off x="0" y="0"/>
                      <a:ext cx="5266055" cy="2533015"/>
                    </a:xfrm>
                    <a:prstGeom prst="rect">
                      <a:avLst/>
                    </a:prstGeom>
                  </pic:spPr>
                </pic:pic>
              </a:graphicData>
            </a:graphic>
          </wp:inline>
        </w:drawing>
      </w:r>
    </w:p>
    <w:p>
      <w:pPr>
        <w:spacing w:line="360" w:lineRule="auto"/>
        <w:ind w:firstLine="420" w:firstLineChars="200"/>
        <w:jc w:val="center"/>
        <w:rPr>
          <w:rFonts w:hint="eastAsia" w:ascii="Times New Roman" w:hAnsi="Times New Roman" w:eastAsia="黑体" w:cs="Times New Roman"/>
          <w:highlight w:val="none"/>
          <w:lang w:eastAsia="zh-CN"/>
        </w:rPr>
      </w:pPr>
      <w:r>
        <w:rPr>
          <w:rFonts w:hint="eastAsia" w:ascii="Times New Roman" w:hAnsi="Times New Roman" w:eastAsia="黑体" w:cs="Times New Roman"/>
          <w:highlight w:val="none"/>
        </w:rPr>
        <w:t>图</w:t>
      </w:r>
      <w:r>
        <w:rPr>
          <w:rFonts w:ascii="Times New Roman" w:hAnsi="Times New Roman" w:eastAsia="黑体" w:cs="Times New Roman"/>
          <w:highlight w:val="none"/>
        </w:rPr>
        <w:t>1</w:t>
      </w:r>
      <w:r>
        <w:rPr>
          <w:rFonts w:hint="eastAsia" w:ascii="Times New Roman" w:hAnsi="Times New Roman" w:eastAsia="黑体" w:cs="Times New Roman"/>
          <w:highlight w:val="none"/>
          <w:lang w:val="en-US" w:eastAsia="zh-CN"/>
        </w:rPr>
        <w:t xml:space="preserve">   </w:t>
      </w:r>
      <w:r>
        <w:rPr>
          <w:rFonts w:hint="eastAsia" w:ascii="Times New Roman" w:hAnsi="Times New Roman" w:eastAsia="黑体" w:cs="Times New Roman"/>
          <w:highlight w:val="none"/>
        </w:rPr>
        <w:t>摩托车二手车交易</w:t>
      </w:r>
      <w:r>
        <w:rPr>
          <w:rFonts w:hint="eastAsia" w:ascii="Times New Roman" w:hAnsi="Times New Roman" w:eastAsia="黑体" w:cs="Times New Roman"/>
          <w:highlight w:val="none"/>
          <w:lang w:val="en-US" w:eastAsia="zh-CN"/>
        </w:rPr>
        <w:t>情况</w:t>
      </w:r>
    </w:p>
    <w:p>
      <w:pPr>
        <w:widowControl/>
        <w:spacing w:line="360" w:lineRule="auto"/>
        <w:ind w:firstLine="480" w:firstLineChars="200"/>
        <w:jc w:val="left"/>
        <w:rPr>
          <w:rFonts w:hint="default"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目前，汽车产品的二手车市场及相关标准已比较健全，针对不同类别的车型制定了二手车鉴定评估相关的国家推荐性标准、地方标准以及团体标准，并成立了相关的行业协会进行管理。但是，摩托车产品还没有二手车鉴定评估相关的标准，其从业人员只能依据个人经验或参考汽车相关标准开展鉴定评估活动，从而导致摩托车二手车鉴定评估的方法和结论均存在较大差异性。</w:t>
      </w:r>
    </w:p>
    <w:p>
      <w:pPr>
        <w:pStyle w:val="16"/>
        <w:numPr>
          <w:ilvl w:val="1"/>
          <w:numId w:val="1"/>
        </w:numPr>
        <w:spacing w:line="360" w:lineRule="auto"/>
        <w:ind w:firstLineChars="0"/>
        <w:jc w:val="left"/>
        <w:rPr>
          <w:rFonts w:ascii="Times New Roman" w:hAnsi="Times New Roman" w:eastAsia="黑体" w:cs="Times New Roman"/>
          <w:sz w:val="24"/>
          <w:szCs w:val="24"/>
          <w:highlight w:val="none"/>
        </w:rPr>
      </w:pPr>
      <w:r>
        <w:rPr>
          <w:rFonts w:ascii="Times New Roman" w:hAnsi="Times New Roman" w:eastAsia="黑体" w:cs="Times New Roman"/>
          <w:sz w:val="24"/>
          <w:szCs w:val="24"/>
          <w:highlight w:val="none"/>
        </w:rPr>
        <w:t>工作过程</w:t>
      </w:r>
    </w:p>
    <w:p>
      <w:pPr>
        <w:pStyle w:val="16"/>
        <w:spacing w:line="360" w:lineRule="auto"/>
        <w:ind w:firstLine="480"/>
        <w:rPr>
          <w:rFonts w:hint="eastAsia" w:ascii="Times New Roman" w:hAnsi="Times New Roman" w:eastAsia="宋体" w:cs="Times New Roman"/>
          <w:sz w:val="24"/>
          <w:szCs w:val="24"/>
          <w:highlight w:val="none"/>
          <w:lang w:eastAsia="zh-CN"/>
        </w:rPr>
      </w:pPr>
      <w:r>
        <w:rPr>
          <w:rFonts w:ascii="Times New Roman" w:hAnsi="Times New Roman" w:eastAsia="宋体" w:cs="Times New Roman"/>
          <w:sz w:val="24"/>
          <w:szCs w:val="24"/>
          <w:highlight w:val="none"/>
        </w:rPr>
        <w:t>2021年</w:t>
      </w:r>
      <w:r>
        <w:rPr>
          <w:rFonts w:hint="eastAsia" w:ascii="Times New Roman" w:hAnsi="Times New Roman" w:eastAsia="宋体" w:cs="Times New Roman"/>
          <w:sz w:val="24"/>
          <w:szCs w:val="24"/>
          <w:highlight w:val="none"/>
          <w:lang w:val="en-US" w:eastAsia="zh-CN"/>
        </w:rPr>
        <w:t>9</w:t>
      </w:r>
      <w:r>
        <w:rPr>
          <w:rFonts w:ascii="Times New Roman" w:hAnsi="Times New Roman" w:eastAsia="宋体" w:cs="Times New Roman"/>
          <w:sz w:val="24"/>
          <w:szCs w:val="24"/>
          <w:highlight w:val="none"/>
        </w:rPr>
        <w:t>月</w:t>
      </w:r>
      <w:r>
        <w:rPr>
          <w:rFonts w:hint="eastAsia" w:ascii="Times New Roman" w:hAnsi="Times New Roman" w:eastAsia="宋体" w:cs="Times New Roman"/>
          <w:sz w:val="24"/>
          <w:szCs w:val="24"/>
          <w:highlight w:val="none"/>
          <w:lang w:eastAsia="zh-CN"/>
        </w:rPr>
        <w:t>，</w:t>
      </w:r>
      <w:r>
        <w:rPr>
          <w:rFonts w:ascii="Times New Roman" w:hAnsi="Times New Roman" w:eastAsia="宋体" w:cs="Times New Roman"/>
          <w:sz w:val="24"/>
          <w:szCs w:val="24"/>
          <w:highlight w:val="none"/>
        </w:rPr>
        <w:t>天津内燃机研究所（天津摩托车技术中心）</w:t>
      </w:r>
      <w:r>
        <w:rPr>
          <w:rFonts w:hint="eastAsia" w:ascii="Times New Roman" w:hAnsi="Times New Roman" w:eastAsia="宋体" w:cs="Times New Roman"/>
          <w:sz w:val="24"/>
          <w:szCs w:val="24"/>
          <w:highlight w:val="none"/>
          <w:lang w:val="en-US" w:eastAsia="zh-CN"/>
        </w:rPr>
        <w:t>根据</w:t>
      </w:r>
      <w:r>
        <w:rPr>
          <w:rFonts w:hint="eastAsia" w:ascii="Times New Roman" w:hAnsi="Times New Roman" w:eastAsia="宋体" w:cs="Times New Roman"/>
          <w:sz w:val="24"/>
          <w:szCs w:val="24"/>
          <w:highlight w:val="none"/>
        </w:rPr>
        <w:t>中国摩托车商会</w:t>
      </w:r>
      <w:r>
        <w:rPr>
          <w:rFonts w:hint="eastAsia" w:ascii="Times New Roman" w:hAnsi="Times New Roman" w:eastAsia="宋体" w:cs="Times New Roman"/>
          <w:sz w:val="24"/>
          <w:szCs w:val="24"/>
          <w:highlight w:val="none"/>
          <w:lang w:val="en-US" w:eastAsia="zh-CN"/>
        </w:rPr>
        <w:t>要求和前期调研情况成立工作组，并在标准制定相关任务下达后，</w:t>
      </w:r>
      <w:r>
        <w:rPr>
          <w:rFonts w:hint="eastAsia" w:ascii="Times New Roman" w:hAnsi="Times New Roman" w:eastAsia="宋体" w:cs="Times New Roman"/>
          <w:sz w:val="24"/>
          <w:szCs w:val="24"/>
          <w:highlight w:val="none"/>
        </w:rPr>
        <w:t>召集相关单位</w:t>
      </w:r>
      <w:r>
        <w:rPr>
          <w:rFonts w:ascii="Times New Roman" w:hAnsi="Times New Roman" w:eastAsia="宋体" w:cs="Times New Roman"/>
          <w:sz w:val="24"/>
          <w:szCs w:val="24"/>
          <w:highlight w:val="none"/>
        </w:rPr>
        <w:t>成立</w:t>
      </w:r>
      <w:r>
        <w:rPr>
          <w:rFonts w:hint="eastAsia" w:ascii="Times New Roman" w:hAnsi="Times New Roman" w:eastAsia="宋体" w:cs="Times New Roman"/>
          <w:sz w:val="24"/>
          <w:szCs w:val="24"/>
          <w:highlight w:val="none"/>
        </w:rPr>
        <w:t>了标准制定项目组</w:t>
      </w:r>
      <w:r>
        <w:rPr>
          <w:rFonts w:hint="eastAsia" w:ascii="Times New Roman" w:hAnsi="Times New Roman" w:eastAsia="宋体" w:cs="Times New Roman"/>
          <w:sz w:val="24"/>
          <w:szCs w:val="24"/>
          <w:highlight w:val="none"/>
          <w:lang w:eastAsia="zh-CN"/>
        </w:rPr>
        <w:t>。</w:t>
      </w:r>
    </w:p>
    <w:p>
      <w:pPr>
        <w:pStyle w:val="16"/>
        <w:spacing w:line="360" w:lineRule="auto"/>
        <w:ind w:firstLine="48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天津内燃机研究所（天津摩托车技术中心）对</w:t>
      </w:r>
      <w:r>
        <w:rPr>
          <w:rFonts w:hint="eastAsia" w:ascii="Times New Roman" w:hAnsi="Times New Roman" w:eastAsia="宋体" w:cs="Times New Roman"/>
          <w:sz w:val="24"/>
          <w:szCs w:val="24"/>
          <w:highlight w:val="none"/>
        </w:rPr>
        <w:t>相关的国内标准进行调研，</w:t>
      </w:r>
      <w:r>
        <w:rPr>
          <w:rFonts w:ascii="Times New Roman" w:hAnsi="Times New Roman" w:eastAsia="宋体" w:cs="Times New Roman"/>
          <w:sz w:val="24"/>
          <w:szCs w:val="24"/>
          <w:highlight w:val="none"/>
        </w:rPr>
        <w:t>组织召开多次工作会议和技术交流</w:t>
      </w:r>
      <w:r>
        <w:rPr>
          <w:rFonts w:hint="eastAsia" w:ascii="Times New Roman" w:hAnsi="Times New Roman" w:eastAsia="宋体" w:cs="Times New Roman"/>
          <w:sz w:val="24"/>
          <w:szCs w:val="24"/>
          <w:highlight w:val="none"/>
        </w:rPr>
        <w:t>，</w:t>
      </w:r>
      <w:r>
        <w:rPr>
          <w:rFonts w:ascii="Times New Roman" w:hAnsi="Times New Roman" w:eastAsia="宋体" w:cs="Times New Roman"/>
          <w:sz w:val="24"/>
          <w:szCs w:val="24"/>
          <w:highlight w:val="none"/>
        </w:rPr>
        <w:t>开展</w:t>
      </w:r>
      <w:r>
        <w:rPr>
          <w:rFonts w:hint="eastAsia" w:ascii="Times New Roman" w:hAnsi="Times New Roman" w:eastAsia="宋体" w:cs="Times New Roman"/>
          <w:sz w:val="24"/>
          <w:szCs w:val="24"/>
          <w:highlight w:val="none"/>
          <w:lang w:val="en-US" w:eastAsia="zh-CN"/>
        </w:rPr>
        <w:t>了相关</w:t>
      </w:r>
      <w:r>
        <w:rPr>
          <w:rFonts w:ascii="Times New Roman" w:hAnsi="Times New Roman" w:eastAsia="宋体" w:cs="Times New Roman"/>
          <w:sz w:val="24"/>
          <w:szCs w:val="24"/>
          <w:highlight w:val="none"/>
        </w:rPr>
        <w:t>技术验证，为标准</w:t>
      </w:r>
      <w:r>
        <w:rPr>
          <w:rFonts w:hint="eastAsia" w:ascii="Times New Roman" w:hAnsi="Times New Roman" w:eastAsia="宋体" w:cs="Times New Roman"/>
          <w:sz w:val="24"/>
          <w:szCs w:val="24"/>
          <w:highlight w:val="none"/>
          <w:lang w:val="en-US" w:eastAsia="zh-CN"/>
        </w:rPr>
        <w:t>的</w:t>
      </w:r>
      <w:r>
        <w:rPr>
          <w:rFonts w:ascii="Times New Roman" w:hAnsi="Times New Roman" w:eastAsia="宋体" w:cs="Times New Roman"/>
          <w:sz w:val="24"/>
          <w:szCs w:val="24"/>
          <w:highlight w:val="none"/>
        </w:rPr>
        <w:t>起草工作打下了坚实基础。</w:t>
      </w:r>
    </w:p>
    <w:p>
      <w:pPr>
        <w:pStyle w:val="16"/>
        <w:spacing w:line="360" w:lineRule="auto"/>
        <w:ind w:firstLine="48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202</w:t>
      </w:r>
      <w:r>
        <w:rPr>
          <w:rFonts w:hint="eastAsia" w:ascii="Times New Roman" w:hAnsi="Times New Roman" w:eastAsia="宋体" w:cs="Times New Roman"/>
          <w:sz w:val="24"/>
          <w:szCs w:val="24"/>
          <w:highlight w:val="none"/>
          <w:lang w:val="en-US" w:eastAsia="zh-CN"/>
        </w:rPr>
        <w:t>2</w:t>
      </w:r>
      <w:r>
        <w:rPr>
          <w:rFonts w:ascii="Times New Roman" w:hAnsi="Times New Roman" w:eastAsia="宋体" w:cs="Times New Roman"/>
          <w:sz w:val="24"/>
          <w:szCs w:val="24"/>
          <w:highlight w:val="none"/>
        </w:rPr>
        <w:t>年</w:t>
      </w:r>
      <w:r>
        <w:rPr>
          <w:rFonts w:hint="eastAsia" w:ascii="Times New Roman" w:hAnsi="Times New Roman" w:eastAsia="宋体" w:cs="Times New Roman"/>
          <w:sz w:val="24"/>
          <w:szCs w:val="24"/>
          <w:highlight w:val="none"/>
          <w:lang w:val="en-US" w:eastAsia="zh-CN"/>
        </w:rPr>
        <w:t>4-7</w:t>
      </w:r>
      <w:r>
        <w:rPr>
          <w:rFonts w:ascii="Times New Roman" w:hAnsi="Times New Roman" w:eastAsia="宋体" w:cs="Times New Roman"/>
          <w:sz w:val="24"/>
          <w:szCs w:val="24"/>
          <w:highlight w:val="none"/>
        </w:rPr>
        <w:t>月，天津内燃机研究所（天津摩托车技术中心）根据前一阶段研究和验证情况完成了标准草案</w:t>
      </w:r>
      <w:r>
        <w:rPr>
          <w:rFonts w:hint="eastAsia" w:ascii="Times New Roman" w:hAnsi="Times New Roman" w:eastAsia="宋体" w:cs="Times New Roman"/>
          <w:sz w:val="24"/>
          <w:szCs w:val="24"/>
          <w:highlight w:val="none"/>
          <w:lang w:val="en-US" w:eastAsia="zh-CN"/>
        </w:rPr>
        <w:t>稿</w:t>
      </w:r>
      <w:r>
        <w:rPr>
          <w:rFonts w:ascii="Times New Roman" w:hAnsi="Times New Roman" w:eastAsia="宋体" w:cs="Times New Roman"/>
          <w:sz w:val="24"/>
          <w:szCs w:val="24"/>
          <w:highlight w:val="none"/>
        </w:rPr>
        <w:t>，并开展了多轮意见征集与讨论，于202</w:t>
      </w:r>
      <w:r>
        <w:rPr>
          <w:rFonts w:hint="eastAsia" w:ascii="Times New Roman" w:hAnsi="Times New Roman" w:eastAsia="宋体" w:cs="Times New Roman"/>
          <w:sz w:val="24"/>
          <w:szCs w:val="24"/>
          <w:highlight w:val="none"/>
          <w:lang w:val="en-US" w:eastAsia="zh-CN"/>
        </w:rPr>
        <w:t>3</w:t>
      </w:r>
      <w:r>
        <w:rPr>
          <w:rFonts w:ascii="Times New Roman" w:hAnsi="Times New Roman" w:eastAsia="宋体" w:cs="Times New Roman"/>
          <w:sz w:val="24"/>
          <w:szCs w:val="24"/>
          <w:highlight w:val="none"/>
        </w:rPr>
        <w:t>年</w:t>
      </w:r>
      <w:r>
        <w:rPr>
          <w:rFonts w:hint="eastAsia" w:ascii="Times New Roman" w:hAnsi="Times New Roman" w:eastAsia="宋体" w:cs="Times New Roman"/>
          <w:sz w:val="24"/>
          <w:szCs w:val="24"/>
          <w:highlight w:val="none"/>
          <w:lang w:val="en-US" w:eastAsia="zh-CN"/>
        </w:rPr>
        <w:t>11</w:t>
      </w:r>
      <w:r>
        <w:rPr>
          <w:rFonts w:ascii="Times New Roman" w:hAnsi="Times New Roman" w:eastAsia="宋体" w:cs="Times New Roman"/>
          <w:sz w:val="24"/>
          <w:szCs w:val="24"/>
          <w:highlight w:val="none"/>
        </w:rPr>
        <w:t>月形成了标准</w:t>
      </w:r>
      <w:r>
        <w:rPr>
          <w:rFonts w:hint="eastAsia" w:ascii="Times New Roman" w:hAnsi="Times New Roman" w:eastAsia="宋体" w:cs="Times New Roman"/>
          <w:sz w:val="24"/>
          <w:szCs w:val="24"/>
          <w:highlight w:val="none"/>
          <w:lang w:val="en-US" w:eastAsia="zh-CN"/>
        </w:rPr>
        <w:t>的</w:t>
      </w:r>
      <w:r>
        <w:rPr>
          <w:rFonts w:ascii="Times New Roman" w:hAnsi="Times New Roman" w:eastAsia="宋体" w:cs="Times New Roman"/>
          <w:sz w:val="24"/>
          <w:szCs w:val="24"/>
          <w:highlight w:val="none"/>
        </w:rPr>
        <w:t>征求意见稿。</w:t>
      </w:r>
    </w:p>
    <w:p>
      <w:pPr>
        <w:pStyle w:val="16"/>
        <w:spacing w:line="360" w:lineRule="auto"/>
        <w:ind w:firstLine="48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主要技术会议及研究活动情况如下：</w:t>
      </w:r>
    </w:p>
    <w:p>
      <w:pPr>
        <w:pStyle w:val="16"/>
        <w:spacing w:line="360" w:lineRule="auto"/>
        <w:ind w:left="0" w:leftChars="0" w:firstLine="0" w:firstLineChars="0"/>
        <w:jc w:val="center"/>
        <w:rPr>
          <w:rFonts w:ascii="Times New Roman" w:hAnsi="Times New Roman" w:eastAsia="黑体" w:cs="Times New Roman"/>
          <w:highlight w:val="none"/>
        </w:rPr>
      </w:pPr>
      <w:r>
        <w:rPr>
          <w:rFonts w:ascii="Times New Roman" w:hAnsi="Times New Roman" w:eastAsia="黑体" w:cs="Times New Roman"/>
          <w:highlight w:val="none"/>
        </w:rPr>
        <w:t>表1</w:t>
      </w:r>
      <w:r>
        <w:rPr>
          <w:rFonts w:hint="eastAsia" w:ascii="Times New Roman" w:hAnsi="Times New Roman" w:eastAsia="黑体" w:cs="Times New Roman"/>
          <w:highlight w:val="none"/>
          <w:lang w:val="en-US" w:eastAsia="zh-CN"/>
        </w:rPr>
        <w:t xml:space="preserve">   </w:t>
      </w:r>
      <w:r>
        <w:rPr>
          <w:rFonts w:ascii="Times New Roman" w:hAnsi="Times New Roman" w:eastAsia="黑体" w:cs="Times New Roman"/>
          <w:highlight w:val="none"/>
        </w:rPr>
        <w:t>主要技术会议及研究活动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08" w:type="dxa"/>
          <w:left w:w="108" w:type="dxa"/>
          <w:bottom w:w="108" w:type="dxa"/>
          <w:right w:w="108" w:type="dxa"/>
        </w:tblCellMar>
      </w:tblPr>
      <w:tblGrid>
        <w:gridCol w:w="2093"/>
        <w:gridCol w:w="1417"/>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c>
          <w:tcPr>
            <w:tcW w:w="2093" w:type="dxa"/>
            <w:vAlign w:val="center"/>
          </w:tcPr>
          <w:p>
            <w:pPr>
              <w:pStyle w:val="16"/>
              <w:spacing w:line="360" w:lineRule="auto"/>
              <w:ind w:firstLine="0" w:firstLineChars="0"/>
              <w:jc w:val="center"/>
              <w:rPr>
                <w:rFonts w:ascii="Times New Roman" w:hAnsi="Times New Roman" w:eastAsia="宋体" w:cs="Times New Roman"/>
                <w:highlight w:val="none"/>
              </w:rPr>
            </w:pPr>
            <w:r>
              <w:rPr>
                <w:rFonts w:ascii="Times New Roman" w:hAnsi="Times New Roman" w:eastAsia="宋体" w:cs="Times New Roman"/>
                <w:highlight w:val="none"/>
              </w:rPr>
              <w:t>时间</w:t>
            </w:r>
          </w:p>
        </w:tc>
        <w:tc>
          <w:tcPr>
            <w:tcW w:w="1417" w:type="dxa"/>
            <w:vAlign w:val="center"/>
          </w:tcPr>
          <w:p>
            <w:pPr>
              <w:pStyle w:val="16"/>
              <w:spacing w:line="360" w:lineRule="auto"/>
              <w:ind w:firstLine="0" w:firstLineChars="0"/>
              <w:jc w:val="center"/>
              <w:rPr>
                <w:rFonts w:ascii="Times New Roman" w:hAnsi="Times New Roman" w:eastAsia="宋体" w:cs="Times New Roman"/>
                <w:highlight w:val="none"/>
              </w:rPr>
            </w:pPr>
            <w:r>
              <w:rPr>
                <w:rFonts w:ascii="Times New Roman" w:hAnsi="Times New Roman" w:eastAsia="宋体" w:cs="Times New Roman"/>
                <w:highlight w:val="none"/>
              </w:rPr>
              <w:t>会议活动</w:t>
            </w:r>
          </w:p>
        </w:tc>
        <w:tc>
          <w:tcPr>
            <w:tcW w:w="4786" w:type="dxa"/>
            <w:vAlign w:val="center"/>
          </w:tcPr>
          <w:p>
            <w:pPr>
              <w:pStyle w:val="16"/>
              <w:spacing w:line="360" w:lineRule="auto"/>
              <w:ind w:firstLine="0" w:firstLineChars="0"/>
              <w:jc w:val="center"/>
              <w:rPr>
                <w:rFonts w:ascii="Times New Roman" w:hAnsi="Times New Roman" w:eastAsia="宋体" w:cs="Times New Roman"/>
                <w:highlight w:val="none"/>
              </w:rPr>
            </w:pPr>
            <w:r>
              <w:rPr>
                <w:rFonts w:ascii="Times New Roman" w:hAnsi="Times New Roman" w:eastAsia="宋体" w:cs="Times New Roman"/>
                <w:highlight w:val="none"/>
              </w:rPr>
              <w:t>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c>
          <w:tcPr>
            <w:tcW w:w="2093" w:type="dxa"/>
            <w:vAlign w:val="center"/>
          </w:tcPr>
          <w:p>
            <w:pPr>
              <w:pStyle w:val="16"/>
              <w:spacing w:line="360" w:lineRule="auto"/>
              <w:ind w:firstLine="0" w:firstLineChars="0"/>
              <w:jc w:val="center"/>
              <w:rPr>
                <w:rFonts w:ascii="Times New Roman" w:hAnsi="Times New Roman" w:eastAsia="宋体" w:cs="Times New Roman"/>
                <w:highlight w:val="none"/>
              </w:rPr>
            </w:pPr>
            <w:r>
              <w:rPr>
                <w:rFonts w:ascii="Times New Roman" w:hAnsi="Times New Roman" w:eastAsia="宋体" w:cs="Times New Roman"/>
                <w:highlight w:val="none"/>
              </w:rPr>
              <w:t>2020</w:t>
            </w:r>
            <w:r>
              <w:rPr>
                <w:rFonts w:hint="eastAsia" w:ascii="Times New Roman" w:hAnsi="Times New Roman" w:eastAsia="宋体" w:cs="Times New Roman"/>
                <w:highlight w:val="none"/>
              </w:rPr>
              <w:t>年</w:t>
            </w:r>
            <w:r>
              <w:rPr>
                <w:rFonts w:ascii="Times New Roman" w:hAnsi="Times New Roman" w:eastAsia="宋体" w:cs="Times New Roman"/>
                <w:highlight w:val="none"/>
              </w:rPr>
              <w:t>12月</w:t>
            </w:r>
          </w:p>
        </w:tc>
        <w:tc>
          <w:tcPr>
            <w:tcW w:w="1417" w:type="dxa"/>
            <w:vAlign w:val="center"/>
          </w:tcPr>
          <w:p>
            <w:pPr>
              <w:pStyle w:val="16"/>
              <w:spacing w:line="360" w:lineRule="auto"/>
              <w:ind w:firstLine="0" w:firstLineChars="0"/>
              <w:jc w:val="center"/>
              <w:rPr>
                <w:rFonts w:ascii="Times New Roman" w:hAnsi="Times New Roman" w:eastAsia="宋体" w:cs="Times New Roman"/>
                <w:highlight w:val="none"/>
              </w:rPr>
            </w:pPr>
          </w:p>
        </w:tc>
        <w:tc>
          <w:tcPr>
            <w:tcW w:w="4786"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rPr>
              <w:t>中国摩托车商会第五次会员大会中提出</w:t>
            </w:r>
            <w:r>
              <w:rPr>
                <w:rFonts w:hint="eastAsia" w:ascii="Times New Roman" w:hAnsi="Times New Roman" w:eastAsia="宋体" w:cs="Times New Roman"/>
                <w:highlight w:val="none"/>
                <w:lang w:val="en-US" w:eastAsia="zh-CN"/>
              </w:rPr>
              <w:t>标准制修订要求。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c>
          <w:tcPr>
            <w:tcW w:w="2093" w:type="dxa"/>
            <w:vAlign w:val="center"/>
          </w:tcPr>
          <w:p>
            <w:pPr>
              <w:pStyle w:val="16"/>
              <w:spacing w:line="360" w:lineRule="auto"/>
              <w:ind w:firstLine="0" w:firstLineChars="0"/>
              <w:jc w:val="center"/>
              <w:rPr>
                <w:rFonts w:ascii="Times New Roman" w:hAnsi="Times New Roman" w:eastAsia="宋体" w:cs="Times New Roman"/>
                <w:highlight w:val="none"/>
              </w:rPr>
            </w:pPr>
            <w:r>
              <w:rPr>
                <w:rFonts w:hint="eastAsia" w:ascii="Times New Roman" w:hAnsi="Times New Roman" w:eastAsia="宋体" w:cs="Times New Roman"/>
                <w:highlight w:val="none"/>
              </w:rPr>
              <w:t>2</w:t>
            </w:r>
            <w:r>
              <w:rPr>
                <w:rFonts w:ascii="Times New Roman" w:hAnsi="Times New Roman" w:eastAsia="宋体" w:cs="Times New Roman"/>
                <w:highlight w:val="none"/>
              </w:rPr>
              <w:t>021</w:t>
            </w:r>
            <w:r>
              <w:rPr>
                <w:rFonts w:hint="eastAsia" w:ascii="Times New Roman" w:hAnsi="Times New Roman" w:eastAsia="宋体" w:cs="Times New Roman"/>
                <w:highlight w:val="none"/>
              </w:rPr>
              <w:t>年6月</w:t>
            </w:r>
          </w:p>
        </w:tc>
        <w:tc>
          <w:tcPr>
            <w:tcW w:w="1417" w:type="dxa"/>
            <w:vAlign w:val="center"/>
          </w:tcPr>
          <w:p>
            <w:pPr>
              <w:pStyle w:val="16"/>
              <w:spacing w:line="360" w:lineRule="auto"/>
              <w:ind w:firstLine="0" w:firstLineChars="0"/>
              <w:jc w:val="center"/>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rPr>
              <w:t>第一次会议</w:t>
            </w:r>
          </w:p>
        </w:tc>
        <w:tc>
          <w:tcPr>
            <w:tcW w:w="4786"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Times New Roman" w:hAnsi="Times New Roman" w:eastAsia="宋体" w:cs="Times New Roman"/>
                <w:highlight w:val="none"/>
                <w:lang w:eastAsia="zh-CN"/>
              </w:rPr>
            </w:pPr>
            <w:r>
              <w:rPr>
                <w:rFonts w:hint="eastAsia" w:ascii="Times New Roman" w:hAnsi="Times New Roman" w:eastAsia="宋体" w:cs="Times New Roman"/>
                <w:highlight w:val="none"/>
              </w:rPr>
              <w:t>中国摩托车商会四届一次秘书长会中对技术规范的制定进行讨论</w:t>
            </w:r>
            <w:r>
              <w:rPr>
                <w:rFonts w:hint="eastAsia" w:ascii="Times New Roman" w:hAnsi="Times New Roman" w:eastAsia="宋体" w:cs="Times New Roman"/>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c>
          <w:tcPr>
            <w:tcW w:w="2093" w:type="dxa"/>
            <w:vAlign w:val="center"/>
          </w:tcPr>
          <w:p>
            <w:pPr>
              <w:pStyle w:val="16"/>
              <w:spacing w:line="360" w:lineRule="auto"/>
              <w:ind w:firstLine="0" w:firstLineChars="0"/>
              <w:jc w:val="center"/>
              <w:rPr>
                <w:rFonts w:ascii="Times New Roman" w:hAnsi="Times New Roman" w:eastAsia="宋体" w:cs="Times New Roman"/>
                <w:highlight w:val="none"/>
              </w:rPr>
            </w:pPr>
            <w:r>
              <w:rPr>
                <w:rFonts w:hint="eastAsia" w:ascii="Times New Roman" w:hAnsi="Times New Roman" w:eastAsia="宋体" w:cs="Times New Roman"/>
                <w:highlight w:val="none"/>
              </w:rPr>
              <w:t>2</w:t>
            </w:r>
            <w:r>
              <w:rPr>
                <w:rFonts w:ascii="Times New Roman" w:hAnsi="Times New Roman" w:eastAsia="宋体" w:cs="Times New Roman"/>
                <w:highlight w:val="none"/>
              </w:rPr>
              <w:t>021</w:t>
            </w:r>
            <w:r>
              <w:rPr>
                <w:rFonts w:hint="eastAsia" w:ascii="Times New Roman" w:hAnsi="Times New Roman" w:eastAsia="宋体" w:cs="Times New Roman"/>
                <w:highlight w:val="none"/>
              </w:rPr>
              <w:t>年9月</w:t>
            </w:r>
          </w:p>
        </w:tc>
        <w:tc>
          <w:tcPr>
            <w:tcW w:w="1417" w:type="dxa"/>
            <w:vAlign w:val="center"/>
          </w:tcPr>
          <w:p>
            <w:pPr>
              <w:pStyle w:val="16"/>
              <w:spacing w:line="360" w:lineRule="auto"/>
              <w:ind w:firstLine="0" w:firstLineChars="0"/>
              <w:jc w:val="center"/>
              <w:rPr>
                <w:rFonts w:hint="eastAsia" w:ascii="Times New Roman" w:hAnsi="Times New Roman" w:eastAsia="宋体" w:cs="Times New Roman"/>
                <w:highlight w:val="none"/>
              </w:rPr>
            </w:pPr>
            <w:r>
              <w:rPr>
                <w:rFonts w:hint="eastAsia" w:ascii="Times New Roman" w:hAnsi="Times New Roman" w:eastAsia="宋体" w:cs="Times New Roman"/>
                <w:highlight w:val="none"/>
              </w:rPr>
              <w:t>第</w:t>
            </w:r>
            <w:r>
              <w:rPr>
                <w:rFonts w:hint="eastAsia" w:ascii="Times New Roman" w:hAnsi="Times New Roman" w:eastAsia="宋体" w:cs="Times New Roman"/>
                <w:highlight w:val="none"/>
                <w:lang w:val="en-US" w:eastAsia="zh-CN"/>
              </w:rPr>
              <w:t>二</w:t>
            </w:r>
            <w:r>
              <w:rPr>
                <w:rFonts w:hint="eastAsia" w:ascii="Times New Roman" w:hAnsi="Times New Roman" w:eastAsia="宋体" w:cs="Times New Roman"/>
                <w:highlight w:val="none"/>
              </w:rPr>
              <w:t>次会议</w:t>
            </w:r>
          </w:p>
        </w:tc>
        <w:tc>
          <w:tcPr>
            <w:tcW w:w="4786"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Times New Roman" w:hAnsi="Times New Roman" w:eastAsia="宋体" w:cs="Times New Roman"/>
                <w:highlight w:val="none"/>
                <w:lang w:eastAsia="zh-CN"/>
              </w:rPr>
            </w:pPr>
            <w:r>
              <w:rPr>
                <w:rFonts w:hint="eastAsia" w:ascii="Times New Roman" w:hAnsi="Times New Roman" w:eastAsia="宋体" w:cs="Times New Roman"/>
                <w:highlight w:val="none"/>
              </w:rPr>
              <w:t>全国二手重机行业发展研讨会中确认由天津内燃机研究所（</w:t>
            </w:r>
            <w:r>
              <w:rPr>
                <w:rFonts w:ascii="Times New Roman" w:hAnsi="Times New Roman" w:eastAsia="宋体" w:cs="Times New Roman"/>
                <w:highlight w:val="none"/>
              </w:rPr>
              <w:t>天津摩托车技术中心</w:t>
            </w:r>
            <w:r>
              <w:rPr>
                <w:rFonts w:hint="eastAsia" w:ascii="Times New Roman" w:hAnsi="Times New Roman" w:eastAsia="宋体" w:cs="Times New Roman"/>
                <w:highlight w:val="none"/>
              </w:rPr>
              <w:t>）负责技术规范的制定工作</w:t>
            </w:r>
            <w:r>
              <w:rPr>
                <w:rFonts w:hint="eastAsia" w:ascii="Times New Roman" w:hAnsi="Times New Roman" w:eastAsia="宋体" w:cs="Times New Roman"/>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c>
          <w:tcPr>
            <w:tcW w:w="2093" w:type="dxa"/>
            <w:vAlign w:val="center"/>
          </w:tcPr>
          <w:p>
            <w:pPr>
              <w:pStyle w:val="16"/>
              <w:spacing w:line="360" w:lineRule="auto"/>
              <w:ind w:firstLine="0" w:firstLineChars="0"/>
              <w:jc w:val="center"/>
              <w:rPr>
                <w:rFonts w:ascii="Times New Roman" w:hAnsi="Times New Roman" w:eastAsia="宋体" w:cs="Times New Roman"/>
                <w:highlight w:val="none"/>
              </w:rPr>
            </w:pPr>
            <w:r>
              <w:rPr>
                <w:rFonts w:ascii="Times New Roman" w:hAnsi="Times New Roman" w:eastAsia="宋体" w:cs="Times New Roman"/>
                <w:highlight w:val="none"/>
              </w:rPr>
              <w:t>2021</w:t>
            </w:r>
            <w:r>
              <w:rPr>
                <w:rFonts w:hint="eastAsia" w:ascii="Times New Roman" w:hAnsi="Times New Roman" w:eastAsia="宋体" w:cs="Times New Roman"/>
                <w:highlight w:val="none"/>
              </w:rPr>
              <w:t>年1</w:t>
            </w:r>
            <w:r>
              <w:rPr>
                <w:rFonts w:ascii="Times New Roman" w:hAnsi="Times New Roman" w:eastAsia="宋体" w:cs="Times New Roman"/>
                <w:highlight w:val="none"/>
              </w:rPr>
              <w:t>1</w:t>
            </w:r>
            <w:r>
              <w:rPr>
                <w:rFonts w:hint="eastAsia" w:ascii="Times New Roman" w:hAnsi="Times New Roman" w:eastAsia="宋体" w:cs="Times New Roman"/>
                <w:highlight w:val="none"/>
              </w:rPr>
              <w:t>月</w:t>
            </w:r>
          </w:p>
        </w:tc>
        <w:tc>
          <w:tcPr>
            <w:tcW w:w="1417" w:type="dxa"/>
            <w:vAlign w:val="center"/>
          </w:tcPr>
          <w:p>
            <w:pPr>
              <w:pStyle w:val="16"/>
              <w:spacing w:line="360" w:lineRule="auto"/>
              <w:ind w:firstLine="0" w:firstLineChars="0"/>
              <w:jc w:val="center"/>
              <w:rPr>
                <w:rFonts w:hint="eastAsia" w:ascii="Times New Roman" w:hAnsi="Times New Roman" w:eastAsia="宋体" w:cs="Times New Roman"/>
                <w:highlight w:val="none"/>
              </w:rPr>
            </w:pPr>
            <w:r>
              <w:rPr>
                <w:rFonts w:hint="eastAsia" w:ascii="Times New Roman" w:hAnsi="Times New Roman" w:eastAsia="宋体" w:cs="Times New Roman"/>
                <w:highlight w:val="none"/>
              </w:rPr>
              <w:t>与杜卡迪、哈雷等交流会议</w:t>
            </w:r>
          </w:p>
        </w:tc>
        <w:tc>
          <w:tcPr>
            <w:tcW w:w="4786"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Times New Roman" w:hAnsi="Times New Roman" w:eastAsia="宋体" w:cs="Times New Roman"/>
                <w:highlight w:val="none"/>
              </w:rPr>
            </w:pPr>
            <w:r>
              <w:rPr>
                <w:rFonts w:hint="eastAsia" w:ascii="Times New Roman" w:hAnsi="Times New Roman" w:eastAsia="宋体" w:cs="Times New Roman"/>
                <w:highlight w:val="none"/>
              </w:rPr>
              <w:t>中国摩托车商会进口摩托车联盟会议中与杜卡迪、哈雷等1</w:t>
            </w:r>
            <w:r>
              <w:rPr>
                <w:rFonts w:ascii="Times New Roman" w:hAnsi="Times New Roman" w:eastAsia="宋体" w:cs="Times New Roman"/>
                <w:highlight w:val="none"/>
              </w:rPr>
              <w:t>3</w:t>
            </w:r>
            <w:r>
              <w:rPr>
                <w:rFonts w:hint="eastAsia" w:ascii="Times New Roman" w:hAnsi="Times New Roman" w:eastAsia="宋体" w:cs="Times New Roman"/>
                <w:highlight w:val="none"/>
              </w:rPr>
              <w:t>个进口车企业针对二手车评估要求进行讨论。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c>
          <w:tcPr>
            <w:tcW w:w="2093" w:type="dxa"/>
            <w:vAlign w:val="center"/>
          </w:tcPr>
          <w:p>
            <w:pPr>
              <w:pStyle w:val="16"/>
              <w:spacing w:line="360" w:lineRule="auto"/>
              <w:ind w:firstLine="0" w:firstLineChars="0"/>
              <w:jc w:val="center"/>
              <w:rPr>
                <w:rFonts w:ascii="Times New Roman" w:hAnsi="Times New Roman" w:eastAsia="宋体" w:cs="Times New Roman"/>
                <w:highlight w:val="none"/>
              </w:rPr>
            </w:pPr>
            <w:r>
              <w:rPr>
                <w:rFonts w:hint="eastAsia" w:ascii="Times New Roman" w:hAnsi="Times New Roman" w:eastAsia="宋体" w:cs="Times New Roman"/>
                <w:highlight w:val="none"/>
              </w:rPr>
              <w:t>2</w:t>
            </w:r>
            <w:r>
              <w:rPr>
                <w:rFonts w:ascii="Times New Roman" w:hAnsi="Times New Roman" w:eastAsia="宋体" w:cs="Times New Roman"/>
                <w:highlight w:val="none"/>
              </w:rPr>
              <w:t>022</w:t>
            </w:r>
            <w:r>
              <w:rPr>
                <w:rFonts w:hint="eastAsia" w:ascii="Times New Roman" w:hAnsi="Times New Roman" w:eastAsia="宋体" w:cs="Times New Roman"/>
                <w:highlight w:val="none"/>
              </w:rPr>
              <w:t>年</w:t>
            </w:r>
            <w:r>
              <w:rPr>
                <w:rFonts w:ascii="Times New Roman" w:hAnsi="Times New Roman" w:eastAsia="宋体" w:cs="Times New Roman"/>
                <w:highlight w:val="none"/>
              </w:rPr>
              <w:t>3</w:t>
            </w:r>
            <w:r>
              <w:rPr>
                <w:rFonts w:hint="eastAsia" w:ascii="Times New Roman" w:hAnsi="Times New Roman" w:eastAsia="宋体" w:cs="Times New Roman"/>
                <w:highlight w:val="none"/>
              </w:rPr>
              <w:t>月</w:t>
            </w:r>
          </w:p>
        </w:tc>
        <w:tc>
          <w:tcPr>
            <w:tcW w:w="1417" w:type="dxa"/>
            <w:vAlign w:val="center"/>
          </w:tcPr>
          <w:p>
            <w:pPr>
              <w:pStyle w:val="16"/>
              <w:spacing w:line="360" w:lineRule="auto"/>
              <w:ind w:firstLine="0" w:firstLineChars="0"/>
              <w:jc w:val="center"/>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rPr>
              <w:t>第</w:t>
            </w:r>
            <w:r>
              <w:rPr>
                <w:rFonts w:hint="eastAsia" w:ascii="Times New Roman" w:hAnsi="Times New Roman" w:eastAsia="宋体" w:cs="Times New Roman"/>
                <w:highlight w:val="none"/>
                <w:lang w:val="en-US" w:eastAsia="zh-CN"/>
              </w:rPr>
              <w:t>三</w:t>
            </w:r>
            <w:r>
              <w:rPr>
                <w:rFonts w:hint="eastAsia" w:ascii="Times New Roman" w:hAnsi="Times New Roman" w:eastAsia="宋体" w:cs="Times New Roman"/>
                <w:highlight w:val="none"/>
              </w:rPr>
              <w:t>次会议</w:t>
            </w:r>
          </w:p>
        </w:tc>
        <w:tc>
          <w:tcPr>
            <w:tcW w:w="4786"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eastAsia="宋体" w:cs="Times New Roman"/>
                <w:kern w:val="2"/>
                <w:sz w:val="21"/>
                <w:szCs w:val="21"/>
                <w:highlight w:val="none"/>
                <w:lang w:val="en-US" w:eastAsia="zh-CN" w:bidi="ar-SA"/>
              </w:rPr>
              <w:t>中国摩托车商会通过《摩托车二手车鉴定评估技术规范》立项审查，下达任务。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c>
          <w:tcPr>
            <w:tcW w:w="2093" w:type="dxa"/>
            <w:vAlign w:val="center"/>
          </w:tcPr>
          <w:p>
            <w:pPr>
              <w:pStyle w:val="16"/>
              <w:spacing w:line="360" w:lineRule="auto"/>
              <w:ind w:firstLine="0" w:firstLineChars="0"/>
              <w:jc w:val="center"/>
              <w:rPr>
                <w:rFonts w:ascii="Times New Roman" w:hAnsi="Times New Roman" w:eastAsia="宋体" w:cs="Times New Roman"/>
                <w:highlight w:val="none"/>
              </w:rPr>
            </w:pPr>
            <w:r>
              <w:rPr>
                <w:rFonts w:hint="eastAsia" w:ascii="Times New Roman" w:hAnsi="Times New Roman" w:eastAsia="宋体" w:cs="Times New Roman"/>
                <w:highlight w:val="none"/>
              </w:rPr>
              <w:t>2</w:t>
            </w:r>
            <w:r>
              <w:rPr>
                <w:rFonts w:ascii="Times New Roman" w:hAnsi="Times New Roman" w:eastAsia="宋体" w:cs="Times New Roman"/>
                <w:highlight w:val="none"/>
              </w:rPr>
              <w:t>022</w:t>
            </w:r>
            <w:r>
              <w:rPr>
                <w:rFonts w:hint="eastAsia" w:ascii="Times New Roman" w:hAnsi="Times New Roman" w:eastAsia="宋体" w:cs="Times New Roman"/>
                <w:highlight w:val="none"/>
              </w:rPr>
              <w:t>年</w:t>
            </w:r>
            <w:r>
              <w:rPr>
                <w:rFonts w:hint="eastAsia" w:ascii="Times New Roman" w:hAnsi="Times New Roman" w:eastAsia="宋体" w:cs="Times New Roman"/>
                <w:highlight w:val="none"/>
                <w:lang w:val="en-US" w:eastAsia="zh-CN"/>
              </w:rPr>
              <w:t>4</w:t>
            </w:r>
            <w:r>
              <w:rPr>
                <w:rFonts w:hint="eastAsia" w:ascii="Times New Roman" w:hAnsi="Times New Roman" w:eastAsia="宋体" w:cs="Times New Roman"/>
                <w:highlight w:val="none"/>
              </w:rPr>
              <w:t>月</w:t>
            </w:r>
          </w:p>
        </w:tc>
        <w:tc>
          <w:tcPr>
            <w:tcW w:w="1417" w:type="dxa"/>
            <w:vAlign w:val="center"/>
          </w:tcPr>
          <w:p>
            <w:pPr>
              <w:pStyle w:val="16"/>
              <w:spacing w:line="360" w:lineRule="auto"/>
              <w:ind w:firstLine="0" w:firstLineChars="0"/>
              <w:jc w:val="center"/>
              <w:rPr>
                <w:rFonts w:hint="eastAsia" w:ascii="Times New Roman" w:hAnsi="Times New Roman" w:eastAsia="宋体" w:cs="Times New Roman"/>
                <w:highlight w:val="none"/>
              </w:rPr>
            </w:pPr>
          </w:p>
        </w:tc>
        <w:tc>
          <w:tcPr>
            <w:tcW w:w="4786"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eastAsia="宋体" w:cs="Times New Roman"/>
                <w:kern w:val="2"/>
                <w:sz w:val="21"/>
                <w:szCs w:val="21"/>
                <w:highlight w:val="none"/>
                <w:lang w:val="en-US" w:eastAsia="zh-CN" w:bidi="ar-SA"/>
              </w:rPr>
              <w:t>编制标准草稿并进行调研，向二手重机联盟等行业单位征求意见，根据主要问题提出调查问卷并收集反馈意见与建议，收到有效回复约30份。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c>
          <w:tcPr>
            <w:tcW w:w="2093" w:type="dxa"/>
            <w:vAlign w:val="center"/>
          </w:tcPr>
          <w:p>
            <w:pPr>
              <w:pStyle w:val="16"/>
              <w:spacing w:line="360" w:lineRule="auto"/>
              <w:ind w:firstLine="0" w:firstLineChars="0"/>
              <w:jc w:val="center"/>
              <w:rPr>
                <w:rFonts w:hint="eastAsia" w:ascii="Times New Roman" w:hAnsi="Times New Roman" w:eastAsia="宋体" w:cs="Times New Roman"/>
                <w:highlight w:val="none"/>
              </w:rPr>
            </w:pPr>
            <w:r>
              <w:rPr>
                <w:rFonts w:hint="eastAsia" w:ascii="Times New Roman" w:hAnsi="Times New Roman" w:eastAsia="宋体" w:cs="Times New Roman"/>
                <w:highlight w:val="none"/>
                <w:lang w:val="en-US" w:eastAsia="zh-CN"/>
              </w:rPr>
              <w:t>2022年6月</w:t>
            </w:r>
          </w:p>
        </w:tc>
        <w:tc>
          <w:tcPr>
            <w:tcW w:w="1417" w:type="dxa"/>
            <w:vAlign w:val="center"/>
          </w:tcPr>
          <w:p>
            <w:pPr>
              <w:pStyle w:val="16"/>
              <w:spacing w:line="360" w:lineRule="auto"/>
              <w:ind w:firstLine="0" w:firstLineChars="0"/>
              <w:jc w:val="center"/>
              <w:rPr>
                <w:rFonts w:hint="eastAsia" w:ascii="Times New Roman" w:hAnsi="Times New Roman" w:eastAsia="宋体" w:cs="Times New Roman"/>
                <w:highlight w:val="none"/>
              </w:rPr>
            </w:pPr>
          </w:p>
        </w:tc>
        <w:tc>
          <w:tcPr>
            <w:tcW w:w="4786"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eastAsia="宋体" w:cs="Times New Roman"/>
                <w:kern w:val="2"/>
                <w:sz w:val="21"/>
                <w:szCs w:val="21"/>
                <w:highlight w:val="none"/>
                <w:lang w:val="en-US" w:eastAsia="zh-CN" w:bidi="ar-SA"/>
              </w:rPr>
              <w:t>与相关二手车企业进行技术交流，由具备摩托车维修及评估经验的工程师对标准内容模拟操作并提出相关建议。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c>
          <w:tcPr>
            <w:tcW w:w="2093" w:type="dxa"/>
            <w:vAlign w:val="center"/>
          </w:tcPr>
          <w:p>
            <w:pPr>
              <w:pStyle w:val="16"/>
              <w:spacing w:line="360" w:lineRule="auto"/>
              <w:ind w:firstLine="0" w:firstLineChars="0"/>
              <w:jc w:val="center"/>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rPr>
              <w:t>2</w:t>
            </w:r>
            <w:r>
              <w:rPr>
                <w:rFonts w:ascii="Times New Roman" w:hAnsi="Times New Roman" w:eastAsia="宋体" w:cs="Times New Roman"/>
                <w:highlight w:val="none"/>
              </w:rPr>
              <w:t>022</w:t>
            </w:r>
            <w:r>
              <w:rPr>
                <w:rFonts w:hint="eastAsia" w:ascii="Times New Roman" w:hAnsi="Times New Roman" w:eastAsia="宋体" w:cs="Times New Roman"/>
                <w:highlight w:val="none"/>
              </w:rPr>
              <w:t>年</w:t>
            </w:r>
            <w:r>
              <w:rPr>
                <w:rFonts w:hint="eastAsia" w:ascii="Times New Roman" w:hAnsi="Times New Roman" w:eastAsia="宋体" w:cs="Times New Roman"/>
                <w:highlight w:val="none"/>
                <w:lang w:val="en-US" w:eastAsia="zh-CN"/>
              </w:rPr>
              <w:t>6月-7</w:t>
            </w:r>
            <w:r>
              <w:rPr>
                <w:rFonts w:hint="eastAsia" w:ascii="Times New Roman" w:hAnsi="Times New Roman" w:eastAsia="宋体" w:cs="Times New Roman"/>
                <w:highlight w:val="none"/>
              </w:rPr>
              <w:t>月</w:t>
            </w:r>
          </w:p>
        </w:tc>
        <w:tc>
          <w:tcPr>
            <w:tcW w:w="1417" w:type="dxa"/>
            <w:vAlign w:val="center"/>
          </w:tcPr>
          <w:p>
            <w:pPr>
              <w:pStyle w:val="16"/>
              <w:spacing w:line="360" w:lineRule="auto"/>
              <w:ind w:firstLine="0" w:firstLineChars="0"/>
              <w:jc w:val="center"/>
              <w:rPr>
                <w:rFonts w:hint="eastAsia" w:ascii="Times New Roman" w:hAnsi="Times New Roman" w:eastAsia="宋体" w:cs="Times New Roman"/>
                <w:highlight w:val="none"/>
              </w:rPr>
            </w:pPr>
          </w:p>
        </w:tc>
        <w:tc>
          <w:tcPr>
            <w:tcW w:w="4786"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Times New Roman" w:hAnsi="Times New Roman" w:eastAsia="宋体" w:cs="Times New Roman"/>
                <w:kern w:val="2"/>
                <w:sz w:val="21"/>
                <w:szCs w:val="21"/>
                <w:highlight w:val="none"/>
                <w:lang w:val="en-US" w:eastAsia="zh-CN" w:bidi="ar-SA"/>
              </w:rPr>
            </w:pPr>
            <w:r>
              <w:rPr>
                <w:rFonts w:hint="eastAsia" w:ascii="Times New Roman" w:hAnsi="Times New Roman" w:eastAsia="宋体" w:cs="Times New Roman"/>
                <w:kern w:val="2"/>
                <w:sz w:val="21"/>
                <w:szCs w:val="21"/>
                <w:highlight w:val="none"/>
                <w:lang w:val="en-US" w:eastAsia="zh-CN" w:bidi="ar-SA"/>
              </w:rPr>
              <w:t>完成标准草案稿并进行调研与征求二手车商意见工作。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c>
          <w:tcPr>
            <w:tcW w:w="2093" w:type="dxa"/>
            <w:vAlign w:val="center"/>
          </w:tcPr>
          <w:p>
            <w:pPr>
              <w:pStyle w:val="16"/>
              <w:spacing w:line="360" w:lineRule="auto"/>
              <w:ind w:firstLine="0" w:firstLineChars="0"/>
              <w:jc w:val="center"/>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rPr>
              <w:t>2</w:t>
            </w:r>
            <w:r>
              <w:rPr>
                <w:rFonts w:ascii="Times New Roman" w:hAnsi="Times New Roman" w:eastAsia="宋体" w:cs="Times New Roman"/>
                <w:highlight w:val="none"/>
              </w:rPr>
              <w:t>022</w:t>
            </w:r>
            <w:r>
              <w:rPr>
                <w:rFonts w:hint="eastAsia" w:ascii="Times New Roman" w:hAnsi="Times New Roman" w:eastAsia="宋体" w:cs="Times New Roman"/>
                <w:highlight w:val="none"/>
              </w:rPr>
              <w:t>年8月</w:t>
            </w:r>
          </w:p>
        </w:tc>
        <w:tc>
          <w:tcPr>
            <w:tcW w:w="1417" w:type="dxa"/>
            <w:vAlign w:val="center"/>
          </w:tcPr>
          <w:p>
            <w:pPr>
              <w:pStyle w:val="16"/>
              <w:spacing w:line="360" w:lineRule="auto"/>
              <w:ind w:firstLine="0" w:firstLineChars="0"/>
              <w:jc w:val="center"/>
              <w:rPr>
                <w:rFonts w:hint="eastAsia" w:ascii="Times New Roman" w:hAnsi="Times New Roman" w:eastAsia="宋体" w:cs="Times New Roman"/>
                <w:kern w:val="2"/>
                <w:sz w:val="21"/>
                <w:szCs w:val="22"/>
                <w:highlight w:val="none"/>
                <w:lang w:val="en-US" w:eastAsia="zh-CN" w:bidi="ar-SA"/>
              </w:rPr>
            </w:pPr>
            <w:r>
              <w:rPr>
                <w:rFonts w:hint="eastAsia" w:ascii="Times New Roman" w:hAnsi="Times New Roman" w:eastAsia="宋体" w:cs="Times New Roman"/>
                <w:highlight w:val="none"/>
              </w:rPr>
              <w:t>第</w:t>
            </w:r>
            <w:r>
              <w:rPr>
                <w:rFonts w:hint="eastAsia" w:ascii="Times New Roman" w:hAnsi="Times New Roman" w:eastAsia="宋体" w:cs="Times New Roman"/>
                <w:highlight w:val="none"/>
                <w:lang w:val="en-US" w:eastAsia="zh-CN"/>
              </w:rPr>
              <w:t>四</w:t>
            </w:r>
            <w:r>
              <w:rPr>
                <w:rFonts w:hint="eastAsia" w:ascii="Times New Roman" w:hAnsi="Times New Roman" w:eastAsia="宋体" w:cs="Times New Roman"/>
                <w:highlight w:val="none"/>
              </w:rPr>
              <w:t>次会议</w:t>
            </w:r>
          </w:p>
        </w:tc>
        <w:tc>
          <w:tcPr>
            <w:tcW w:w="4786"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中国摩托车商会技术专家委员会2022年第一次工作会议中上会讨论《摩托车二手车鉴定评估技术规范》（草案）。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c>
          <w:tcPr>
            <w:tcW w:w="2093" w:type="dxa"/>
            <w:vAlign w:val="center"/>
          </w:tcPr>
          <w:p>
            <w:pPr>
              <w:pStyle w:val="16"/>
              <w:spacing w:line="360" w:lineRule="auto"/>
              <w:ind w:firstLine="0" w:firstLineChars="0"/>
              <w:jc w:val="center"/>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2022年9月-</w:t>
            </w:r>
          </w:p>
          <w:p>
            <w:pPr>
              <w:pStyle w:val="16"/>
              <w:spacing w:line="360" w:lineRule="auto"/>
              <w:ind w:firstLine="0" w:firstLineChars="0"/>
              <w:jc w:val="center"/>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2023年2月</w:t>
            </w:r>
          </w:p>
        </w:tc>
        <w:tc>
          <w:tcPr>
            <w:tcW w:w="1417" w:type="dxa"/>
            <w:vAlign w:val="center"/>
          </w:tcPr>
          <w:p>
            <w:pPr>
              <w:pStyle w:val="16"/>
              <w:spacing w:line="360" w:lineRule="auto"/>
              <w:ind w:firstLine="0" w:firstLineChars="0"/>
              <w:jc w:val="center"/>
              <w:rPr>
                <w:rFonts w:hint="eastAsia" w:ascii="Times New Roman" w:hAnsi="Times New Roman" w:eastAsia="宋体" w:cs="Times New Roman"/>
                <w:highlight w:val="none"/>
              </w:rPr>
            </w:pPr>
          </w:p>
        </w:tc>
        <w:tc>
          <w:tcPr>
            <w:tcW w:w="4786"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进行标准征求意见稿修订工作。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c>
          <w:tcPr>
            <w:tcW w:w="2093" w:type="dxa"/>
            <w:vAlign w:val="center"/>
          </w:tcPr>
          <w:p>
            <w:pPr>
              <w:pStyle w:val="16"/>
              <w:spacing w:line="360" w:lineRule="auto"/>
              <w:ind w:firstLine="0" w:firstLineChars="0"/>
              <w:jc w:val="center"/>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2023年2月</w:t>
            </w:r>
          </w:p>
        </w:tc>
        <w:tc>
          <w:tcPr>
            <w:tcW w:w="1417" w:type="dxa"/>
            <w:vAlign w:val="center"/>
          </w:tcPr>
          <w:p>
            <w:pPr>
              <w:pStyle w:val="16"/>
              <w:spacing w:line="360" w:lineRule="auto"/>
              <w:ind w:firstLine="0" w:firstLineChars="0"/>
              <w:jc w:val="center"/>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rPr>
              <w:t>第</w:t>
            </w:r>
            <w:r>
              <w:rPr>
                <w:rFonts w:hint="eastAsia" w:ascii="Times New Roman" w:hAnsi="Times New Roman" w:eastAsia="宋体" w:cs="Times New Roman"/>
                <w:highlight w:val="none"/>
                <w:lang w:val="en-US" w:eastAsia="zh-CN"/>
              </w:rPr>
              <w:t>五</w:t>
            </w:r>
            <w:r>
              <w:rPr>
                <w:rFonts w:hint="eastAsia" w:ascii="Times New Roman" w:hAnsi="Times New Roman" w:eastAsia="宋体" w:cs="Times New Roman"/>
                <w:highlight w:val="none"/>
              </w:rPr>
              <w:t>次会议</w:t>
            </w:r>
          </w:p>
        </w:tc>
        <w:tc>
          <w:tcPr>
            <w:tcW w:w="4786"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2023年第二届全国二手重机行业研讨高峰论坛交流会中讨论征求意见稿并征求意见。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c>
          <w:tcPr>
            <w:tcW w:w="2093" w:type="dxa"/>
            <w:vAlign w:val="center"/>
          </w:tcPr>
          <w:p>
            <w:pPr>
              <w:pStyle w:val="16"/>
              <w:spacing w:line="360" w:lineRule="auto"/>
              <w:ind w:firstLine="0" w:firstLineChars="0"/>
              <w:jc w:val="center"/>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2023年3月-4月</w:t>
            </w:r>
          </w:p>
        </w:tc>
        <w:tc>
          <w:tcPr>
            <w:tcW w:w="1417" w:type="dxa"/>
            <w:vAlign w:val="center"/>
          </w:tcPr>
          <w:p>
            <w:pPr>
              <w:pStyle w:val="16"/>
              <w:spacing w:line="360" w:lineRule="auto"/>
              <w:ind w:firstLine="0" w:firstLineChars="0"/>
              <w:jc w:val="center"/>
              <w:rPr>
                <w:rFonts w:hint="eastAsia" w:ascii="Times New Roman" w:hAnsi="Times New Roman" w:eastAsia="宋体" w:cs="Times New Roman"/>
                <w:kern w:val="2"/>
                <w:sz w:val="21"/>
                <w:szCs w:val="22"/>
                <w:highlight w:val="none"/>
                <w:lang w:val="en-US" w:eastAsia="zh-CN" w:bidi="ar-SA"/>
              </w:rPr>
            </w:pPr>
            <w:r>
              <w:rPr>
                <w:rFonts w:hint="eastAsia" w:ascii="Times New Roman" w:hAnsi="Times New Roman" w:eastAsia="宋体" w:cs="Times New Roman"/>
                <w:highlight w:val="none"/>
              </w:rPr>
              <w:t>与</w:t>
            </w:r>
            <w:r>
              <w:rPr>
                <w:rFonts w:hint="eastAsia" w:ascii="Times New Roman" w:hAnsi="Times New Roman" w:eastAsia="宋体" w:cs="Times New Roman"/>
                <w:highlight w:val="none"/>
                <w:lang w:val="en-US" w:eastAsia="zh-CN"/>
              </w:rPr>
              <w:t>摩宁检测</w:t>
            </w:r>
            <w:r>
              <w:rPr>
                <w:rFonts w:hint="eastAsia" w:ascii="Times New Roman" w:hAnsi="Times New Roman" w:eastAsia="宋体" w:cs="Times New Roman"/>
                <w:highlight w:val="none"/>
              </w:rPr>
              <w:t>交流会议</w:t>
            </w:r>
          </w:p>
        </w:tc>
        <w:tc>
          <w:tcPr>
            <w:tcW w:w="4786"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Times New Roman" w:hAnsi="Times New Roman" w:eastAsia="宋体" w:cs="Times New Roman"/>
                <w:kern w:val="2"/>
                <w:sz w:val="21"/>
                <w:szCs w:val="22"/>
                <w:highlight w:val="none"/>
                <w:lang w:val="en-US" w:eastAsia="zh-CN" w:bidi="ar-SA"/>
              </w:rPr>
            </w:pPr>
            <w:r>
              <w:rPr>
                <w:rFonts w:hint="eastAsia" w:ascii="Times New Roman" w:hAnsi="Times New Roman" w:eastAsia="宋体" w:cs="Times New Roman"/>
                <w:highlight w:val="none"/>
                <w:lang w:val="en-US" w:eastAsia="zh-CN"/>
              </w:rPr>
              <w:t>与二手摩托车检测机构摩宁检测等开展多次技术交流和征求意见，并修订和完善征求意见稿。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c>
          <w:tcPr>
            <w:tcW w:w="2093" w:type="dxa"/>
            <w:vAlign w:val="center"/>
          </w:tcPr>
          <w:p>
            <w:pPr>
              <w:pStyle w:val="16"/>
              <w:spacing w:line="360" w:lineRule="auto"/>
              <w:ind w:firstLine="0" w:firstLineChars="0"/>
              <w:jc w:val="center"/>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2023年9月</w:t>
            </w:r>
          </w:p>
        </w:tc>
        <w:tc>
          <w:tcPr>
            <w:tcW w:w="1417" w:type="dxa"/>
            <w:vAlign w:val="center"/>
          </w:tcPr>
          <w:p>
            <w:pPr>
              <w:pStyle w:val="16"/>
              <w:spacing w:line="360" w:lineRule="auto"/>
              <w:ind w:firstLine="0" w:firstLineChars="0"/>
              <w:jc w:val="center"/>
              <w:rPr>
                <w:rFonts w:hint="eastAsia" w:ascii="Times New Roman" w:hAnsi="Times New Roman" w:eastAsia="宋体" w:cs="Times New Roman"/>
                <w:kern w:val="2"/>
                <w:sz w:val="21"/>
                <w:szCs w:val="22"/>
                <w:highlight w:val="none"/>
                <w:lang w:val="en-US" w:eastAsia="zh-CN" w:bidi="ar-SA"/>
              </w:rPr>
            </w:pPr>
            <w:r>
              <w:rPr>
                <w:rFonts w:hint="eastAsia" w:ascii="Times New Roman" w:hAnsi="Times New Roman" w:eastAsia="宋体" w:cs="Times New Roman"/>
                <w:highlight w:val="none"/>
              </w:rPr>
              <w:t>第</w:t>
            </w:r>
            <w:r>
              <w:rPr>
                <w:rFonts w:hint="eastAsia" w:ascii="Times New Roman" w:hAnsi="Times New Roman" w:eastAsia="宋体" w:cs="Times New Roman"/>
                <w:highlight w:val="none"/>
                <w:lang w:val="en-US" w:eastAsia="zh-CN"/>
              </w:rPr>
              <w:t>六</w:t>
            </w:r>
            <w:r>
              <w:rPr>
                <w:rFonts w:hint="eastAsia" w:ascii="Times New Roman" w:hAnsi="Times New Roman" w:eastAsia="宋体" w:cs="Times New Roman"/>
                <w:highlight w:val="none"/>
              </w:rPr>
              <w:t>次会议</w:t>
            </w:r>
          </w:p>
        </w:tc>
        <w:tc>
          <w:tcPr>
            <w:tcW w:w="4786"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全国二手重机车商行业联盟第三届会议暨中国摩托车商会二手车商工作委员会筹备大会中征求经销商等相关方意见。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c>
          <w:tcPr>
            <w:tcW w:w="2093" w:type="dxa"/>
            <w:vAlign w:val="center"/>
          </w:tcPr>
          <w:p>
            <w:pPr>
              <w:pStyle w:val="16"/>
              <w:spacing w:line="360" w:lineRule="auto"/>
              <w:ind w:firstLine="0" w:firstLineChars="0"/>
              <w:jc w:val="center"/>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2023年11月</w:t>
            </w:r>
          </w:p>
        </w:tc>
        <w:tc>
          <w:tcPr>
            <w:tcW w:w="1417" w:type="dxa"/>
            <w:vAlign w:val="center"/>
          </w:tcPr>
          <w:p>
            <w:pPr>
              <w:pStyle w:val="16"/>
              <w:spacing w:line="360" w:lineRule="auto"/>
              <w:ind w:firstLine="0" w:firstLineChars="0"/>
              <w:jc w:val="center"/>
              <w:rPr>
                <w:rFonts w:hint="eastAsia" w:ascii="Times New Roman" w:hAnsi="Times New Roman" w:eastAsia="宋体" w:cs="Times New Roman"/>
                <w:highlight w:val="none"/>
              </w:rPr>
            </w:pPr>
          </w:p>
        </w:tc>
        <w:tc>
          <w:tcPr>
            <w:tcW w:w="4786" w:type="dxa"/>
            <w:vAlign w:val="center"/>
          </w:tcPr>
          <w:p>
            <w:pPr>
              <w:pStyle w:val="1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形成标准征求意见稿。</w:t>
            </w:r>
          </w:p>
        </w:tc>
      </w:tr>
    </w:tbl>
    <w:p>
      <w:pPr>
        <w:pStyle w:val="16"/>
        <w:numPr>
          <w:ilvl w:val="0"/>
          <w:numId w:val="1"/>
        </w:numPr>
        <w:spacing w:line="360" w:lineRule="auto"/>
        <w:ind w:firstLineChars="0"/>
        <w:jc w:val="left"/>
        <w:rPr>
          <w:rFonts w:ascii="Times New Roman" w:hAnsi="Times New Roman" w:eastAsia="黑体" w:cs="Times New Roman"/>
          <w:sz w:val="24"/>
          <w:szCs w:val="24"/>
          <w:highlight w:val="none"/>
        </w:rPr>
      </w:pPr>
      <w:r>
        <w:rPr>
          <w:rFonts w:ascii="Times New Roman" w:hAnsi="Times New Roman" w:eastAsia="黑体" w:cs="Times New Roman"/>
          <w:sz w:val="24"/>
          <w:szCs w:val="24"/>
          <w:highlight w:val="none"/>
        </w:rPr>
        <w:t>标准编制原则和主要技术内容</w:t>
      </w:r>
    </w:p>
    <w:p>
      <w:pPr>
        <w:pStyle w:val="16"/>
        <w:numPr>
          <w:ilvl w:val="1"/>
          <w:numId w:val="1"/>
        </w:numPr>
        <w:spacing w:line="360" w:lineRule="auto"/>
        <w:ind w:firstLineChars="0"/>
        <w:jc w:val="left"/>
        <w:rPr>
          <w:rFonts w:ascii="Times New Roman" w:hAnsi="Times New Roman" w:eastAsia="黑体" w:cs="Times New Roman"/>
          <w:sz w:val="24"/>
          <w:szCs w:val="24"/>
          <w:highlight w:val="none"/>
        </w:rPr>
      </w:pPr>
      <w:r>
        <w:rPr>
          <w:rFonts w:ascii="Times New Roman" w:hAnsi="Times New Roman" w:eastAsia="黑体" w:cs="Times New Roman"/>
          <w:sz w:val="24"/>
          <w:szCs w:val="24"/>
          <w:highlight w:val="none"/>
        </w:rPr>
        <w:t>研究目标</w:t>
      </w:r>
    </w:p>
    <w:p>
      <w:pPr>
        <w:pStyle w:val="16"/>
        <w:spacing w:line="360" w:lineRule="auto"/>
        <w:ind w:firstLine="48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w:t>
      </w:r>
      <w:r>
        <w:rPr>
          <w:rFonts w:hint="eastAsia" w:ascii="Times New Roman" w:hAnsi="Times New Roman" w:eastAsia="宋体" w:cs="Times New Roman"/>
          <w:sz w:val="24"/>
          <w:szCs w:val="24"/>
          <w:highlight w:val="none"/>
        </w:rPr>
        <w:t>摩托车二手车鉴定评估技术规范</w:t>
      </w:r>
      <w:r>
        <w:rPr>
          <w:rFonts w:ascii="Times New Roman" w:hAnsi="Times New Roman" w:eastAsia="宋体" w:cs="Times New Roman"/>
          <w:sz w:val="24"/>
          <w:szCs w:val="24"/>
          <w:highlight w:val="none"/>
        </w:rPr>
        <w:t>》标准制定满足政府主管部门</w:t>
      </w:r>
      <w:r>
        <w:rPr>
          <w:rFonts w:hint="eastAsia" w:ascii="Times New Roman" w:hAnsi="Times New Roman" w:eastAsia="宋体" w:cs="Times New Roman"/>
          <w:sz w:val="24"/>
          <w:szCs w:val="24"/>
          <w:highlight w:val="none"/>
          <w:lang w:val="en-US" w:eastAsia="zh-CN"/>
        </w:rPr>
        <w:t>和行业技术团体组织</w:t>
      </w:r>
      <w:r>
        <w:rPr>
          <w:rFonts w:ascii="Times New Roman" w:hAnsi="Times New Roman" w:eastAsia="宋体" w:cs="Times New Roman"/>
          <w:sz w:val="24"/>
          <w:szCs w:val="24"/>
          <w:highlight w:val="none"/>
        </w:rPr>
        <w:t>的摩托车</w:t>
      </w:r>
      <w:r>
        <w:rPr>
          <w:rFonts w:hint="eastAsia" w:ascii="Times New Roman" w:hAnsi="Times New Roman" w:eastAsia="宋体" w:cs="Times New Roman"/>
          <w:sz w:val="24"/>
          <w:szCs w:val="24"/>
          <w:highlight w:val="none"/>
        </w:rPr>
        <w:t>二手车鉴定评估</w:t>
      </w:r>
      <w:r>
        <w:rPr>
          <w:rFonts w:hint="eastAsia" w:ascii="Times New Roman" w:hAnsi="Times New Roman" w:eastAsia="宋体" w:cs="Times New Roman"/>
          <w:sz w:val="24"/>
          <w:szCs w:val="24"/>
          <w:highlight w:val="none"/>
          <w:lang w:val="en-US" w:eastAsia="zh-CN"/>
        </w:rPr>
        <w:t>的</w:t>
      </w:r>
      <w:r>
        <w:rPr>
          <w:rFonts w:ascii="Times New Roman" w:hAnsi="Times New Roman" w:eastAsia="宋体" w:cs="Times New Roman"/>
          <w:sz w:val="24"/>
          <w:szCs w:val="24"/>
          <w:highlight w:val="none"/>
        </w:rPr>
        <w:t>需求，同时满足消费者获取更</w:t>
      </w:r>
      <w:r>
        <w:rPr>
          <w:rFonts w:hint="eastAsia" w:ascii="Times New Roman" w:hAnsi="Times New Roman" w:eastAsia="宋体" w:cs="Times New Roman"/>
          <w:sz w:val="24"/>
          <w:szCs w:val="24"/>
          <w:highlight w:val="none"/>
          <w:lang w:val="en-US" w:eastAsia="zh-CN"/>
        </w:rPr>
        <w:t>客观和规范的</w:t>
      </w:r>
      <w:r>
        <w:rPr>
          <w:rFonts w:hint="eastAsia" w:ascii="Times New Roman" w:hAnsi="Times New Roman" w:eastAsia="宋体" w:cs="Times New Roman"/>
          <w:sz w:val="24"/>
          <w:szCs w:val="24"/>
          <w:highlight w:val="none"/>
        </w:rPr>
        <w:t>二手车鉴定评估</w:t>
      </w:r>
      <w:r>
        <w:rPr>
          <w:rFonts w:ascii="Times New Roman" w:hAnsi="Times New Roman" w:eastAsia="宋体" w:cs="Times New Roman"/>
          <w:sz w:val="24"/>
          <w:szCs w:val="24"/>
          <w:highlight w:val="none"/>
        </w:rPr>
        <w:t>信息的需要。标准制定目标包括：</w:t>
      </w:r>
    </w:p>
    <w:p>
      <w:pPr>
        <w:pStyle w:val="16"/>
        <w:numPr>
          <w:ilvl w:val="0"/>
          <w:numId w:val="2"/>
        </w:numPr>
        <w:spacing w:line="360" w:lineRule="auto"/>
        <w:ind w:firstLineChars="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建立</w:t>
      </w:r>
      <w:r>
        <w:rPr>
          <w:rFonts w:hint="eastAsia" w:ascii="Times New Roman" w:hAnsi="Times New Roman" w:eastAsia="宋体" w:cs="Times New Roman"/>
          <w:sz w:val="24"/>
          <w:szCs w:val="24"/>
          <w:highlight w:val="none"/>
        </w:rPr>
        <w:t>摩托车二手车鉴定评估</w:t>
      </w:r>
      <w:r>
        <w:rPr>
          <w:rFonts w:ascii="Times New Roman" w:hAnsi="Times New Roman" w:eastAsia="宋体" w:cs="Times New Roman"/>
          <w:sz w:val="24"/>
          <w:szCs w:val="24"/>
          <w:highlight w:val="none"/>
        </w:rPr>
        <w:t>体系</w:t>
      </w:r>
      <w:r>
        <w:rPr>
          <w:rFonts w:hint="eastAsia" w:ascii="Times New Roman" w:hAnsi="Times New Roman" w:eastAsia="宋体" w:cs="Times New Roman"/>
          <w:sz w:val="24"/>
          <w:szCs w:val="24"/>
          <w:highlight w:val="none"/>
          <w:lang w:eastAsia="zh-CN"/>
        </w:rPr>
        <w:t>；</w:t>
      </w:r>
    </w:p>
    <w:p>
      <w:pPr>
        <w:pStyle w:val="16"/>
        <w:numPr>
          <w:ilvl w:val="0"/>
          <w:numId w:val="2"/>
        </w:numPr>
        <w:spacing w:line="360" w:lineRule="auto"/>
        <w:ind w:firstLineChars="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尽可能充分</w:t>
      </w:r>
      <w:r>
        <w:rPr>
          <w:rFonts w:hint="eastAsia" w:ascii="Times New Roman" w:hAnsi="Times New Roman" w:eastAsia="宋体" w:cs="Times New Roman"/>
          <w:sz w:val="24"/>
          <w:szCs w:val="24"/>
          <w:highlight w:val="none"/>
          <w:lang w:val="en-US" w:eastAsia="zh-CN"/>
        </w:rPr>
        <w:t>客观地体现</w:t>
      </w:r>
      <w:r>
        <w:rPr>
          <w:rFonts w:hint="eastAsia" w:ascii="Times New Roman" w:hAnsi="Times New Roman" w:eastAsia="宋体" w:cs="Times New Roman"/>
          <w:sz w:val="24"/>
          <w:szCs w:val="24"/>
          <w:highlight w:val="none"/>
        </w:rPr>
        <w:t>摩托车二手车鉴定评估</w:t>
      </w:r>
      <w:r>
        <w:rPr>
          <w:rFonts w:hint="eastAsia" w:ascii="Times New Roman" w:hAnsi="Times New Roman" w:eastAsia="宋体" w:cs="Times New Roman"/>
          <w:sz w:val="24"/>
          <w:szCs w:val="24"/>
          <w:highlight w:val="none"/>
          <w:lang w:val="en-US" w:eastAsia="zh-CN"/>
        </w:rPr>
        <w:t>的价值和结果</w:t>
      </w:r>
      <w:r>
        <w:rPr>
          <w:rFonts w:hint="eastAsia" w:ascii="Times New Roman" w:hAnsi="Times New Roman" w:eastAsia="宋体" w:cs="Times New Roman"/>
          <w:sz w:val="24"/>
          <w:szCs w:val="24"/>
          <w:highlight w:val="none"/>
          <w:lang w:eastAsia="zh-CN"/>
        </w:rPr>
        <w:t>；</w:t>
      </w:r>
    </w:p>
    <w:p>
      <w:pPr>
        <w:pStyle w:val="16"/>
        <w:numPr>
          <w:ilvl w:val="0"/>
          <w:numId w:val="2"/>
        </w:numPr>
        <w:spacing w:line="360" w:lineRule="auto"/>
        <w:ind w:firstLineChars="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更</w:t>
      </w:r>
      <w:r>
        <w:rPr>
          <w:rFonts w:hint="eastAsia" w:ascii="Times New Roman" w:hAnsi="Times New Roman" w:eastAsia="宋体" w:cs="Times New Roman"/>
          <w:sz w:val="24"/>
          <w:szCs w:val="24"/>
          <w:highlight w:val="none"/>
          <w:lang w:val="en-US" w:eastAsia="zh-CN"/>
        </w:rPr>
        <w:t>符合</w:t>
      </w:r>
      <w:r>
        <w:rPr>
          <w:rFonts w:ascii="Times New Roman" w:hAnsi="Times New Roman" w:eastAsia="宋体" w:cs="Times New Roman"/>
          <w:sz w:val="24"/>
          <w:szCs w:val="24"/>
          <w:highlight w:val="none"/>
        </w:rPr>
        <w:t>我国</w:t>
      </w:r>
      <w:r>
        <w:rPr>
          <w:rFonts w:hint="eastAsia" w:ascii="Times New Roman" w:hAnsi="Times New Roman" w:eastAsia="宋体" w:cs="Times New Roman"/>
          <w:sz w:val="24"/>
          <w:szCs w:val="24"/>
          <w:highlight w:val="none"/>
        </w:rPr>
        <w:t>摩托车二手车鉴定评估</w:t>
      </w:r>
      <w:r>
        <w:rPr>
          <w:rFonts w:hint="eastAsia" w:ascii="Times New Roman" w:hAnsi="Times New Roman" w:eastAsia="宋体" w:cs="Times New Roman"/>
          <w:sz w:val="24"/>
          <w:szCs w:val="24"/>
          <w:highlight w:val="none"/>
          <w:lang w:val="en-US" w:eastAsia="zh-CN"/>
        </w:rPr>
        <w:t>的</w:t>
      </w:r>
      <w:r>
        <w:rPr>
          <w:rFonts w:ascii="Times New Roman" w:hAnsi="Times New Roman" w:eastAsia="宋体" w:cs="Times New Roman"/>
          <w:sz w:val="24"/>
          <w:szCs w:val="24"/>
          <w:highlight w:val="none"/>
        </w:rPr>
        <w:t>行业现状。</w:t>
      </w:r>
    </w:p>
    <w:p>
      <w:pPr>
        <w:pStyle w:val="16"/>
        <w:numPr>
          <w:ilvl w:val="1"/>
          <w:numId w:val="1"/>
        </w:numPr>
        <w:spacing w:line="360" w:lineRule="auto"/>
        <w:ind w:firstLineChars="0"/>
        <w:jc w:val="left"/>
        <w:rPr>
          <w:rFonts w:ascii="Times New Roman" w:hAnsi="Times New Roman" w:eastAsia="黑体" w:cs="Times New Roman"/>
          <w:sz w:val="24"/>
          <w:szCs w:val="24"/>
          <w:highlight w:val="none"/>
        </w:rPr>
      </w:pPr>
      <w:r>
        <w:rPr>
          <w:rFonts w:ascii="Times New Roman" w:hAnsi="Times New Roman" w:eastAsia="黑体" w:cs="Times New Roman"/>
          <w:sz w:val="24"/>
          <w:szCs w:val="24"/>
          <w:highlight w:val="none"/>
        </w:rPr>
        <w:t>制定原则</w:t>
      </w:r>
    </w:p>
    <w:p>
      <w:pPr>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本</w:t>
      </w:r>
      <w:r>
        <w:rPr>
          <w:rFonts w:ascii="Times New Roman" w:hAnsi="Times New Roman" w:eastAsia="宋体" w:cs="Times New Roman"/>
          <w:sz w:val="24"/>
          <w:szCs w:val="24"/>
          <w:highlight w:val="none"/>
        </w:rPr>
        <w:t>标准编写格式按照GB/T 1.1-2020《标准化工作导则 第1部分</w:t>
      </w:r>
      <w:r>
        <w:rPr>
          <w:rFonts w:hint="eastAsia" w:ascii="Times New Roman" w:hAnsi="Times New Roman" w:eastAsia="宋体" w:cs="Times New Roman"/>
          <w:sz w:val="24"/>
          <w:szCs w:val="24"/>
          <w:highlight w:val="none"/>
          <w:lang w:eastAsia="zh-CN"/>
        </w:rPr>
        <w:t>：</w:t>
      </w:r>
      <w:r>
        <w:rPr>
          <w:rFonts w:ascii="Times New Roman" w:hAnsi="Times New Roman" w:eastAsia="宋体" w:cs="Times New Roman"/>
          <w:sz w:val="24"/>
          <w:szCs w:val="24"/>
          <w:highlight w:val="none"/>
        </w:rPr>
        <w:t>标准化文件的结构和起草规则》。</w:t>
      </w:r>
    </w:p>
    <w:p>
      <w:pPr>
        <w:spacing w:line="360" w:lineRule="auto"/>
        <w:ind w:firstLine="480" w:firstLineChars="20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本标准主要</w:t>
      </w:r>
      <w:r>
        <w:rPr>
          <w:rFonts w:hint="eastAsia" w:ascii="Times New Roman" w:hAnsi="Times New Roman" w:eastAsia="宋体" w:cs="Times New Roman"/>
          <w:sz w:val="24"/>
          <w:szCs w:val="24"/>
          <w:highlight w:val="none"/>
          <w:lang w:val="en-US" w:eastAsia="zh-CN"/>
        </w:rPr>
        <w:t>规定了</w:t>
      </w:r>
      <w:r>
        <w:rPr>
          <w:rFonts w:hint="eastAsia" w:ascii="Times New Roman" w:hAnsi="Times New Roman" w:eastAsia="宋体" w:cs="Times New Roman"/>
          <w:sz w:val="24"/>
          <w:szCs w:val="24"/>
          <w:highlight w:val="none"/>
        </w:rPr>
        <w:t>摩托车二手车</w:t>
      </w:r>
      <w:r>
        <w:rPr>
          <w:rFonts w:hint="eastAsia" w:ascii="Times New Roman" w:hAnsi="Times New Roman" w:eastAsia="宋体" w:cs="Times New Roman"/>
          <w:sz w:val="24"/>
          <w:szCs w:val="24"/>
          <w:highlight w:val="none"/>
          <w:lang w:val="en-US" w:eastAsia="zh-CN"/>
        </w:rPr>
        <w:t>鉴定评估的程序、方法、技术要求，以及机构要求等内容</w:t>
      </w:r>
      <w:r>
        <w:rPr>
          <w:rFonts w:ascii="Times New Roman" w:hAnsi="Times New Roman" w:eastAsia="宋体" w:cs="Times New Roman"/>
          <w:sz w:val="24"/>
          <w:szCs w:val="24"/>
          <w:highlight w:val="none"/>
        </w:rPr>
        <w:t>。</w:t>
      </w:r>
    </w:p>
    <w:p>
      <w:pPr>
        <w:spacing w:line="360" w:lineRule="auto"/>
        <w:ind w:firstLine="480" w:firstLineChars="20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lang w:val="en-US" w:eastAsia="zh-CN"/>
        </w:rPr>
        <w:t>本</w:t>
      </w:r>
      <w:r>
        <w:rPr>
          <w:rFonts w:ascii="Times New Roman" w:hAnsi="Times New Roman" w:eastAsia="宋体" w:cs="Times New Roman"/>
          <w:sz w:val="24"/>
          <w:szCs w:val="24"/>
          <w:highlight w:val="none"/>
        </w:rPr>
        <w:t>标准技术</w:t>
      </w:r>
      <w:r>
        <w:rPr>
          <w:rFonts w:hint="eastAsia" w:ascii="Times New Roman" w:hAnsi="Times New Roman" w:eastAsia="宋体" w:cs="Times New Roman"/>
          <w:sz w:val="24"/>
          <w:szCs w:val="24"/>
          <w:highlight w:val="none"/>
          <w:lang w:val="en-US" w:eastAsia="zh-CN"/>
        </w:rPr>
        <w:t>框架</w:t>
      </w:r>
      <w:r>
        <w:rPr>
          <w:rFonts w:hint="eastAsia" w:ascii="Times New Roman" w:hAnsi="Times New Roman" w:eastAsia="宋体" w:cs="Times New Roman"/>
          <w:sz w:val="24"/>
          <w:szCs w:val="24"/>
          <w:highlight w:val="none"/>
        </w:rPr>
        <w:t>参考GB</w:t>
      </w:r>
      <w:r>
        <w:rPr>
          <w:rFonts w:ascii="Times New Roman" w:hAnsi="Times New Roman" w:eastAsia="宋体" w:cs="Times New Roman"/>
          <w:sz w:val="24"/>
          <w:szCs w:val="24"/>
          <w:highlight w:val="none"/>
        </w:rPr>
        <w:t>/</w:t>
      </w:r>
      <w:r>
        <w:rPr>
          <w:rFonts w:hint="eastAsia" w:ascii="Times New Roman" w:hAnsi="Times New Roman" w:eastAsia="宋体" w:cs="Times New Roman"/>
          <w:sz w:val="24"/>
          <w:szCs w:val="24"/>
          <w:highlight w:val="none"/>
        </w:rPr>
        <w:t>T</w:t>
      </w:r>
      <w:r>
        <w:rPr>
          <w:rFonts w:ascii="Times New Roman" w:hAnsi="Times New Roman" w:eastAsia="宋体" w:cs="Times New Roman"/>
          <w:sz w:val="24"/>
          <w:szCs w:val="24"/>
          <w:highlight w:val="none"/>
        </w:rPr>
        <w:t xml:space="preserve"> </w:t>
      </w:r>
      <w:r>
        <w:rPr>
          <w:rFonts w:hint="eastAsia" w:ascii="Times New Roman" w:hAnsi="Times New Roman" w:eastAsia="宋体" w:cs="Times New Roman"/>
          <w:sz w:val="24"/>
          <w:szCs w:val="24"/>
          <w:highlight w:val="none"/>
        </w:rPr>
        <w:t>30323-2013《二手车鉴定评估技术规范》</w:t>
      </w:r>
      <w:r>
        <w:rPr>
          <w:rFonts w:ascii="Times New Roman" w:hAnsi="Times New Roman" w:eastAsia="宋体" w:cs="Times New Roman"/>
          <w:sz w:val="24"/>
          <w:szCs w:val="24"/>
          <w:highlight w:val="none"/>
        </w:rPr>
        <w:t>为基础</w:t>
      </w:r>
      <w:r>
        <w:rPr>
          <w:rFonts w:hint="eastAsia" w:ascii="Times New Roman" w:hAnsi="Times New Roman" w:eastAsia="宋体" w:cs="Times New Roman"/>
          <w:sz w:val="24"/>
          <w:szCs w:val="24"/>
          <w:highlight w:val="none"/>
          <w:lang w:eastAsia="zh-CN"/>
        </w:rPr>
        <w:t>，</w:t>
      </w:r>
      <w:r>
        <w:rPr>
          <w:rFonts w:ascii="Times New Roman" w:hAnsi="Times New Roman" w:eastAsia="宋体" w:cs="Times New Roman"/>
          <w:sz w:val="24"/>
          <w:szCs w:val="24"/>
          <w:highlight w:val="none"/>
        </w:rPr>
        <w:t>在前期研究</w:t>
      </w:r>
      <w:r>
        <w:rPr>
          <w:rFonts w:hint="eastAsia" w:ascii="Times New Roman" w:hAnsi="Times New Roman" w:eastAsia="宋体" w:cs="Times New Roman"/>
          <w:sz w:val="24"/>
          <w:szCs w:val="24"/>
          <w:highlight w:val="none"/>
        </w:rPr>
        <w:t>及征求意见</w:t>
      </w:r>
      <w:r>
        <w:rPr>
          <w:rFonts w:ascii="Times New Roman" w:hAnsi="Times New Roman" w:eastAsia="宋体" w:cs="Times New Roman"/>
          <w:sz w:val="24"/>
          <w:szCs w:val="24"/>
          <w:highlight w:val="none"/>
        </w:rPr>
        <w:t>过程中，确定了</w:t>
      </w:r>
      <w:r>
        <w:rPr>
          <w:rFonts w:hint="eastAsia" w:ascii="Times New Roman" w:hAnsi="Times New Roman" w:eastAsia="宋体" w:cs="Times New Roman"/>
          <w:sz w:val="24"/>
          <w:szCs w:val="24"/>
          <w:highlight w:val="none"/>
        </w:rPr>
        <w:t>针对摩托车产品的评估机构要求、评估作业流程、车辆技术鉴定方法等技术内容。</w:t>
      </w:r>
    </w:p>
    <w:p>
      <w:pPr>
        <w:pStyle w:val="16"/>
        <w:numPr>
          <w:ilvl w:val="1"/>
          <w:numId w:val="1"/>
        </w:numPr>
        <w:spacing w:line="360" w:lineRule="auto"/>
        <w:ind w:firstLineChars="0"/>
        <w:jc w:val="left"/>
        <w:rPr>
          <w:rFonts w:ascii="Times New Roman" w:hAnsi="Times New Roman" w:eastAsia="黑体" w:cs="Times New Roman"/>
          <w:sz w:val="24"/>
          <w:szCs w:val="24"/>
          <w:highlight w:val="none"/>
        </w:rPr>
      </w:pPr>
      <w:r>
        <w:rPr>
          <w:rFonts w:ascii="Times New Roman" w:hAnsi="Times New Roman" w:eastAsia="黑体" w:cs="Times New Roman"/>
          <w:sz w:val="24"/>
          <w:szCs w:val="24"/>
          <w:highlight w:val="none"/>
        </w:rPr>
        <w:t>适用范围</w:t>
      </w:r>
    </w:p>
    <w:p>
      <w:pPr>
        <w:pStyle w:val="16"/>
        <w:spacing w:line="360" w:lineRule="auto"/>
        <w:ind w:firstLine="480"/>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本标准规定了摩托车和轻便摩托车（除特殊说明外，以下简称“摩托车”）二手车鉴定评估机构要求和鉴定评估程序。</w:t>
      </w:r>
    </w:p>
    <w:p>
      <w:pPr>
        <w:pStyle w:val="16"/>
        <w:spacing w:line="360" w:lineRule="auto"/>
        <w:ind w:firstLine="480"/>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本标准适用于市场流通领域摩托车二手车鉴定评估的活动。从事其他二手车鉴定评估，以及其他领域摩托车鉴定评估活动可参照执行。</w:t>
      </w:r>
    </w:p>
    <w:p>
      <w:pPr>
        <w:pStyle w:val="16"/>
        <w:spacing w:line="360" w:lineRule="auto"/>
        <w:ind w:firstLine="480"/>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本标准不适用于因改装、收藏等行为而附加特殊价值属性的摩托车二手车鉴定评估的活动。</w:t>
      </w:r>
    </w:p>
    <w:p>
      <w:pPr>
        <w:pStyle w:val="16"/>
        <w:numPr>
          <w:ilvl w:val="1"/>
          <w:numId w:val="1"/>
        </w:numPr>
        <w:spacing w:line="360" w:lineRule="auto"/>
        <w:ind w:firstLineChars="0"/>
        <w:jc w:val="left"/>
        <w:rPr>
          <w:rFonts w:ascii="Times New Roman" w:hAnsi="Times New Roman" w:eastAsia="黑体" w:cs="Times New Roman"/>
          <w:sz w:val="24"/>
          <w:szCs w:val="24"/>
          <w:highlight w:val="none"/>
        </w:rPr>
      </w:pPr>
      <w:r>
        <w:rPr>
          <w:rFonts w:ascii="Times New Roman" w:hAnsi="Times New Roman" w:eastAsia="黑体" w:cs="Times New Roman"/>
          <w:sz w:val="24"/>
          <w:szCs w:val="24"/>
          <w:highlight w:val="none"/>
        </w:rPr>
        <w:t>标准总体框架</w:t>
      </w:r>
    </w:p>
    <w:p>
      <w:pPr>
        <w:pStyle w:val="16"/>
        <w:spacing w:line="360" w:lineRule="auto"/>
        <w:ind w:firstLine="480"/>
        <w:rPr>
          <w:rFonts w:hint="default"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本标准共分为5个章节、6个附录，正文规定了摩托车二手车鉴定评估的术语和定义、摩托车二手车鉴定评估机构要求、摩托车二手车鉴定评估程序等内容；附录中包含摩托车二手车鉴定评估机构经营管理要求、摩托车二手车鉴定评估委托书、摩托车二手车鉴定评估报告、摩托车二手车技术状况鉴定表、摩托车二手车技术状况鉴定要求、摩托车二手车技术状况鉴定作业表等内容。</w:t>
      </w:r>
    </w:p>
    <w:p>
      <w:pPr>
        <w:pStyle w:val="16"/>
        <w:spacing w:line="360" w:lineRule="auto"/>
        <w:ind w:firstLine="480"/>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根据前期调研数据，国内摩托车二手车市场主要的产品类别为两轮跨骑式摩托车，占摩托车二手车市场的比例高达72%，所以本标准的具体内容以两轮跨骑式摩托车结构为例进行规定，其他类型的车辆可根据本标准的内容进行适用性调整。</w:t>
      </w:r>
    </w:p>
    <w:p>
      <w:pPr>
        <w:pStyle w:val="16"/>
        <w:spacing w:line="360" w:lineRule="auto"/>
        <w:ind w:firstLine="480"/>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本标准包含以下主要内容：</w:t>
      </w:r>
    </w:p>
    <w:p>
      <w:pPr>
        <w:pStyle w:val="16"/>
        <w:numPr>
          <w:ilvl w:val="2"/>
          <w:numId w:val="1"/>
        </w:numPr>
        <w:spacing w:line="360" w:lineRule="auto"/>
        <w:ind w:left="720" w:leftChars="0" w:hanging="720" w:firstLineChars="0"/>
        <w:jc w:val="left"/>
        <w:rPr>
          <w:rFonts w:hint="eastAsia" w:ascii="Times New Roman" w:hAnsi="Times New Roman" w:eastAsia="黑体" w:cs="Times New Roman"/>
          <w:sz w:val="24"/>
          <w:szCs w:val="24"/>
          <w:highlight w:val="none"/>
          <w:lang w:val="en-US" w:eastAsia="zh-CN"/>
        </w:rPr>
      </w:pPr>
      <w:r>
        <w:rPr>
          <w:rFonts w:hint="eastAsia" w:ascii="Times New Roman" w:hAnsi="Times New Roman" w:eastAsia="黑体" w:cs="Times New Roman"/>
          <w:sz w:val="24"/>
          <w:szCs w:val="24"/>
          <w:highlight w:val="none"/>
          <w:lang w:val="en-US" w:eastAsia="zh-CN"/>
        </w:rPr>
        <w:t>摩托车二手车鉴定评估机构要求</w:t>
      </w:r>
    </w:p>
    <w:p>
      <w:pPr>
        <w:pStyle w:val="16"/>
        <w:spacing w:line="360" w:lineRule="auto"/>
        <w:ind w:firstLine="480"/>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对经营摩托车二手车鉴定评估的机构应具备的经营场地、设备设施以及人员等进行了要求。</w:t>
      </w:r>
    </w:p>
    <w:p>
      <w:pPr>
        <w:pStyle w:val="16"/>
        <w:numPr>
          <w:ilvl w:val="2"/>
          <w:numId w:val="1"/>
        </w:numPr>
        <w:spacing w:line="360" w:lineRule="auto"/>
        <w:ind w:left="720" w:leftChars="0" w:hanging="720" w:firstLineChars="0"/>
        <w:jc w:val="left"/>
        <w:rPr>
          <w:rFonts w:hint="eastAsia" w:ascii="Times New Roman" w:hAnsi="Times New Roman" w:eastAsia="黑体" w:cs="Times New Roman"/>
          <w:sz w:val="24"/>
          <w:szCs w:val="24"/>
          <w:highlight w:val="none"/>
          <w:lang w:val="en-US" w:eastAsia="zh-CN"/>
        </w:rPr>
      </w:pPr>
      <w:r>
        <w:rPr>
          <w:rFonts w:hint="eastAsia" w:ascii="Times New Roman" w:hAnsi="Times New Roman" w:eastAsia="黑体" w:cs="Times New Roman"/>
          <w:sz w:val="24"/>
          <w:szCs w:val="24"/>
          <w:highlight w:val="none"/>
          <w:lang w:val="en-US" w:eastAsia="zh-CN"/>
        </w:rPr>
        <w:t>摩托车二手车鉴定评估程序</w:t>
      </w:r>
    </w:p>
    <w:p>
      <w:pPr>
        <w:pStyle w:val="16"/>
        <w:spacing w:line="360" w:lineRule="auto"/>
        <w:ind w:firstLine="480"/>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对摩托车二手车鉴定评估作业流程作出相应的规定。</w:t>
      </w:r>
    </w:p>
    <w:p>
      <w:pPr>
        <w:pStyle w:val="16"/>
        <w:spacing w:line="360" w:lineRule="auto"/>
        <w:ind w:left="0" w:leftChars="0" w:firstLine="0" w:firstLineChars="0"/>
        <w:jc w:val="center"/>
        <w:rPr>
          <w:rFonts w:hint="eastAsia" w:ascii="黑体" w:hAnsi="黑体" w:eastAsia="宋体"/>
          <w:szCs w:val="21"/>
          <w:highlight w:val="none"/>
          <w:lang w:eastAsia="zh-CN"/>
        </w:rPr>
      </w:pPr>
      <w:r>
        <w:rPr>
          <w:rFonts w:hint="eastAsia" w:ascii="黑体" w:hAnsi="黑体" w:eastAsia="宋体"/>
          <w:szCs w:val="21"/>
          <w:lang w:eastAsia="zh-CN"/>
        </w:rPr>
        <w:drawing>
          <wp:inline distT="0" distB="0" distL="114300" distR="114300">
            <wp:extent cx="3801745" cy="4646930"/>
            <wp:effectExtent l="0" t="0" r="0" b="0"/>
            <wp:docPr id="16" name="图片 16" descr="二手车辆鉴定评估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二手车辆鉴定评估流程"/>
                    <pic:cNvPicPr>
                      <a:picLocks noChangeAspect="1"/>
                    </pic:cNvPicPr>
                  </pic:nvPicPr>
                  <pic:blipFill>
                    <a:blip r:embed="rId5"/>
                    <a:stretch>
                      <a:fillRect/>
                    </a:stretch>
                  </pic:blipFill>
                  <pic:spPr>
                    <a:xfrm>
                      <a:off x="0" y="0"/>
                      <a:ext cx="3801745" cy="4646930"/>
                    </a:xfrm>
                    <a:prstGeom prst="rect">
                      <a:avLst/>
                    </a:prstGeom>
                  </pic:spPr>
                </pic:pic>
              </a:graphicData>
            </a:graphic>
          </wp:inline>
        </w:drawing>
      </w:r>
    </w:p>
    <w:p>
      <w:pPr>
        <w:spacing w:line="360" w:lineRule="auto"/>
        <w:jc w:val="center"/>
        <w:rPr>
          <w:rFonts w:hint="eastAsia" w:ascii="Times New Roman" w:hAnsi="Times New Roman" w:eastAsia="黑体" w:cs="Times New Roman"/>
          <w:highlight w:val="none"/>
        </w:rPr>
      </w:pPr>
      <w:r>
        <w:rPr>
          <w:rFonts w:hint="eastAsia" w:ascii="Times New Roman" w:hAnsi="Times New Roman" w:eastAsia="黑体" w:cs="Times New Roman"/>
          <w:highlight w:val="none"/>
        </w:rPr>
        <w:t>图</w:t>
      </w:r>
      <w:r>
        <w:rPr>
          <w:rFonts w:hint="eastAsia" w:ascii="Times New Roman" w:hAnsi="Times New Roman" w:eastAsia="黑体" w:cs="Times New Roman"/>
          <w:highlight w:val="none"/>
          <w:lang w:val="en-US" w:eastAsia="zh-CN"/>
        </w:rPr>
        <w:t xml:space="preserve">2   </w:t>
      </w:r>
      <w:r>
        <w:rPr>
          <w:rFonts w:hint="eastAsia" w:ascii="Times New Roman" w:hAnsi="Times New Roman" w:eastAsia="黑体" w:cs="Times New Roman"/>
          <w:highlight w:val="none"/>
        </w:rPr>
        <w:t>作业流程</w:t>
      </w:r>
    </w:p>
    <w:p>
      <w:pPr>
        <w:pStyle w:val="16"/>
        <w:numPr>
          <w:ilvl w:val="2"/>
          <w:numId w:val="1"/>
        </w:numPr>
        <w:spacing w:line="360" w:lineRule="auto"/>
        <w:ind w:left="720" w:leftChars="0" w:hanging="720" w:firstLineChars="0"/>
        <w:jc w:val="left"/>
        <w:rPr>
          <w:rFonts w:hint="eastAsia" w:ascii="Times New Roman" w:hAnsi="Times New Roman" w:eastAsia="黑体" w:cs="Times New Roman"/>
          <w:sz w:val="24"/>
          <w:szCs w:val="24"/>
          <w:highlight w:val="none"/>
          <w:lang w:val="en-US" w:eastAsia="zh-CN"/>
        </w:rPr>
      </w:pPr>
      <w:r>
        <w:rPr>
          <w:rFonts w:hint="eastAsia" w:ascii="Times New Roman" w:hAnsi="Times New Roman" w:eastAsia="黑体" w:cs="Times New Roman"/>
          <w:sz w:val="24"/>
          <w:szCs w:val="24"/>
          <w:highlight w:val="none"/>
          <w:lang w:val="en-US" w:eastAsia="zh-CN"/>
        </w:rPr>
        <w:t>判别是否为事故车</w:t>
      </w:r>
    </w:p>
    <w:p>
      <w:pPr>
        <w:spacing w:line="360" w:lineRule="auto"/>
        <w:ind w:firstLine="480" w:firstLineChars="200"/>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对于车辆是否为事故车，采用对车架状态进行判断的方式，从车架10个主要部位进行评价和判断。</w:t>
      </w:r>
    </w:p>
    <w:p>
      <w:pPr>
        <w:spacing w:line="360" w:lineRule="auto"/>
        <w:ind w:firstLine="480" w:firstLineChars="200"/>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归类为事故车的车辆鉴定评估不在本标准的范围之内。</w:t>
      </w:r>
    </w:p>
    <w:p>
      <w:pPr>
        <w:spacing w:line="360" w:lineRule="auto"/>
        <w:jc w:val="center"/>
        <w:rPr>
          <w:rFonts w:hint="eastAsia" w:ascii="黑体" w:hAnsi="黑体" w:eastAsia="黑体"/>
          <w:szCs w:val="21"/>
          <w:highlight w:val="none"/>
          <w:lang w:eastAsia="zh-CN"/>
        </w:rPr>
      </w:pPr>
      <w:r>
        <w:rPr>
          <w:rFonts w:hint="eastAsia" w:ascii="黑体" w:hAnsi="黑体" w:eastAsia="黑体"/>
          <w:szCs w:val="21"/>
          <w:highlight w:val="none"/>
          <w:lang w:eastAsia="zh-CN"/>
        </w:rPr>
        <w:drawing>
          <wp:inline distT="0" distB="0" distL="114300" distR="114300">
            <wp:extent cx="3867785" cy="3611880"/>
            <wp:effectExtent l="0" t="0" r="5715" b="7620"/>
            <wp:docPr id="14" name="图片 3" descr="1680148360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1680148360164"/>
                    <pic:cNvPicPr>
                      <a:picLocks noChangeAspect="1"/>
                    </pic:cNvPicPr>
                  </pic:nvPicPr>
                  <pic:blipFill>
                    <a:blip r:embed="rId6"/>
                    <a:stretch>
                      <a:fillRect/>
                    </a:stretch>
                  </pic:blipFill>
                  <pic:spPr>
                    <a:xfrm>
                      <a:off x="0" y="0"/>
                      <a:ext cx="3867785" cy="3611880"/>
                    </a:xfrm>
                    <a:prstGeom prst="rect">
                      <a:avLst/>
                    </a:prstGeom>
                    <a:noFill/>
                    <a:ln>
                      <a:noFill/>
                    </a:ln>
                  </pic:spPr>
                </pic:pic>
              </a:graphicData>
            </a:graphic>
          </wp:inline>
        </w:drawing>
      </w:r>
    </w:p>
    <w:p>
      <w:pPr>
        <w:spacing w:line="360" w:lineRule="auto"/>
        <w:jc w:val="center"/>
        <w:rPr>
          <w:rFonts w:hint="eastAsia" w:ascii="Times New Roman" w:hAnsi="Times New Roman" w:eastAsia="黑体" w:cs="Times New Roman"/>
          <w:highlight w:val="none"/>
        </w:rPr>
      </w:pPr>
      <w:r>
        <w:rPr>
          <w:rFonts w:hint="eastAsia" w:ascii="Times New Roman" w:hAnsi="Times New Roman" w:eastAsia="黑体" w:cs="Times New Roman"/>
          <w:highlight w:val="none"/>
        </w:rPr>
        <w:t>图</w:t>
      </w:r>
      <w:r>
        <w:rPr>
          <w:rFonts w:hint="eastAsia" w:ascii="Times New Roman" w:hAnsi="Times New Roman" w:eastAsia="黑体" w:cs="Times New Roman"/>
          <w:highlight w:val="none"/>
          <w:lang w:val="en-US" w:eastAsia="zh-CN"/>
        </w:rPr>
        <w:t xml:space="preserve">3   </w:t>
      </w:r>
      <w:r>
        <w:rPr>
          <w:rFonts w:hint="eastAsia" w:ascii="Times New Roman" w:hAnsi="Times New Roman" w:eastAsia="黑体" w:cs="Times New Roman"/>
          <w:highlight w:val="none"/>
        </w:rPr>
        <w:t>车架结构示意图</w:t>
      </w:r>
    </w:p>
    <w:p>
      <w:pPr>
        <w:pStyle w:val="16"/>
        <w:numPr>
          <w:ilvl w:val="2"/>
          <w:numId w:val="1"/>
        </w:numPr>
        <w:spacing w:line="360" w:lineRule="auto"/>
        <w:ind w:left="720" w:leftChars="0" w:hanging="720" w:firstLineChars="0"/>
        <w:jc w:val="left"/>
        <w:rPr>
          <w:rFonts w:hint="eastAsia" w:ascii="Times New Roman" w:hAnsi="Times New Roman" w:eastAsia="黑体" w:cs="Times New Roman"/>
          <w:sz w:val="24"/>
          <w:szCs w:val="24"/>
          <w:highlight w:val="none"/>
          <w:lang w:val="en-US" w:eastAsia="zh-CN"/>
        </w:rPr>
      </w:pPr>
      <w:r>
        <w:rPr>
          <w:rFonts w:hint="eastAsia" w:ascii="Times New Roman" w:hAnsi="Times New Roman" w:eastAsia="黑体" w:cs="Times New Roman"/>
          <w:sz w:val="24"/>
          <w:szCs w:val="24"/>
          <w:highlight w:val="none"/>
          <w:lang w:val="en-US" w:eastAsia="zh-CN"/>
        </w:rPr>
        <w:t>评估车辆价值</w:t>
      </w:r>
    </w:p>
    <w:p>
      <w:pPr>
        <w:spacing w:line="360" w:lineRule="auto"/>
        <w:ind w:firstLine="480" w:firstLineChars="200"/>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本标准针对现行市价法、重置成本法两种评估方法进行规定，其中在正常情况下，推荐选用现行市价法；在无参照物、无法使用现行市价法的情况下，选用重置成本法。</w:t>
      </w:r>
    </w:p>
    <w:p>
      <w:pPr>
        <w:spacing w:line="360" w:lineRule="auto"/>
        <w:ind w:firstLine="480" w:firstLineChars="200"/>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现行市价法根据相同车型、配置和相同技术状况鉴定分值车辆的近期成交价格进行评定。</w:t>
      </w:r>
    </w:p>
    <w:p>
      <w:pPr>
        <w:spacing w:line="360" w:lineRule="auto"/>
        <w:ind w:firstLine="480" w:firstLineChars="200"/>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重置成本法需要根据本标准中规定的车辆技术状况鉴定要求、剩余使用年限等条件计算得出，见以下公式：</w:t>
      </w:r>
    </w:p>
    <w:p>
      <w:pPr>
        <w:jc w:val="center"/>
        <w:rPr>
          <w:highlight w:val="none"/>
        </w:rPr>
      </w:pPr>
      <w:r>
        <w:rPr>
          <w:rFonts w:ascii="宋体" w:hAnsi="宋体"/>
          <w:position w:val="-4"/>
          <w:sz w:val="18"/>
          <w:szCs w:val="18"/>
          <w:highlight w:val="none"/>
        </w:rPr>
        <w:object>
          <v:shape id="_x0000_i1025" o:spt="75" type="#_x0000_t75" style="height:13.3pt;width:56.45pt;" o:ole="t" filled="f" o:preferrelative="t" stroked="f" coordsize="21600,21600">
            <v:path/>
            <v:fill on="f" focussize="0,0"/>
            <v:stroke on="f"/>
            <v:imagedata r:id="rId8" o:title=""/>
            <o:lock v:ext="edit" aspectratio="t"/>
            <w10:wrap type="none"/>
            <w10:anchorlock/>
          </v:shape>
          <o:OLEObject Type="Embed" ProgID="Equation.3" ShapeID="_x0000_i1025" DrawAspect="Content" ObjectID="_1468075725" r:id="rId7">
            <o:LockedField>false</o:LockedField>
          </o:OLEObject>
        </w:object>
      </w:r>
    </w:p>
    <w:p>
      <w:pPr>
        <w:spacing w:line="360" w:lineRule="auto"/>
        <w:ind w:firstLine="420" w:firstLineChars="200"/>
        <w:rPr>
          <w:rFonts w:hint="eastAsia" w:ascii="Times New Roman" w:hAnsi="Times New Roman" w:eastAsia="宋体" w:cs="Times New Roman"/>
          <w:kern w:val="2"/>
          <w:sz w:val="21"/>
          <w:szCs w:val="21"/>
          <w:highlight w:val="none"/>
          <w:lang w:val="en-US" w:eastAsia="zh-CN" w:bidi="ar-SA"/>
        </w:rPr>
      </w:pPr>
      <w:r>
        <w:rPr>
          <w:rFonts w:hint="eastAsia" w:ascii="Times New Roman" w:hAnsi="Times New Roman" w:eastAsia="宋体" w:cs="Times New Roman"/>
          <w:kern w:val="2"/>
          <w:sz w:val="21"/>
          <w:szCs w:val="21"/>
          <w:highlight w:val="none"/>
          <w:lang w:val="en-US" w:eastAsia="zh-CN" w:bidi="ar-SA"/>
        </w:rPr>
        <w:t>式中：</w:t>
      </w:r>
    </w:p>
    <w:p>
      <w:pPr>
        <w:spacing w:line="360" w:lineRule="auto"/>
        <w:ind w:firstLine="420" w:firstLineChars="200"/>
        <w:rPr>
          <w:rFonts w:hint="eastAsia" w:ascii="Times New Roman" w:hAnsi="Times New Roman" w:eastAsia="宋体" w:cs="Times New Roman"/>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 xml:space="preserve">W </w:t>
      </w:r>
      <w:r>
        <w:rPr>
          <w:rFonts w:hint="eastAsia" w:ascii="Times New Roman" w:hAnsi="Times New Roman" w:eastAsia="宋体" w:cs="Times New Roman"/>
          <w:kern w:val="2"/>
          <w:sz w:val="21"/>
          <w:szCs w:val="21"/>
          <w:highlight w:val="none"/>
          <w:lang w:val="en-US" w:eastAsia="zh-CN" w:bidi="ar-SA"/>
        </w:rPr>
        <w:t>—— 车辆评估价值；</w:t>
      </w:r>
    </w:p>
    <w:p>
      <w:pPr>
        <w:spacing w:line="360" w:lineRule="auto"/>
        <w:ind w:firstLine="420" w:firstLineChars="200"/>
        <w:rPr>
          <w:rFonts w:hint="eastAsia" w:ascii="Times New Roman" w:hAnsi="Times New Roman" w:eastAsia="宋体" w:cs="Times New Roman"/>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 xml:space="preserve">R </w:t>
      </w:r>
      <w:r>
        <w:rPr>
          <w:rFonts w:hint="eastAsia" w:ascii="Times New Roman" w:hAnsi="Times New Roman" w:eastAsia="宋体" w:cs="Times New Roman"/>
          <w:kern w:val="2"/>
          <w:sz w:val="21"/>
          <w:szCs w:val="21"/>
          <w:highlight w:val="none"/>
          <w:lang w:val="en-US" w:eastAsia="zh-CN" w:bidi="ar-SA"/>
        </w:rPr>
        <w:t>—— 更新重置成本；</w:t>
      </w:r>
    </w:p>
    <w:p>
      <w:pPr>
        <w:spacing w:line="360" w:lineRule="auto"/>
        <w:ind w:firstLine="420" w:firstLineChars="200"/>
        <w:rPr>
          <w:highlight w:val="none"/>
        </w:rPr>
      </w:pPr>
      <w:r>
        <w:rPr>
          <w:rFonts w:hint="eastAsia" w:ascii="宋体" w:hAnsi="宋体" w:eastAsia="宋体" w:cs="宋体"/>
          <w:kern w:val="2"/>
          <w:sz w:val="21"/>
          <w:szCs w:val="21"/>
          <w:highlight w:val="none"/>
          <w:lang w:val="en-US" w:eastAsia="zh-CN" w:bidi="ar-SA"/>
        </w:rPr>
        <w:t xml:space="preserve">e </w:t>
      </w:r>
      <w:r>
        <w:rPr>
          <w:rFonts w:hint="eastAsia" w:ascii="Times New Roman" w:hAnsi="Times New Roman" w:eastAsia="宋体" w:cs="Times New Roman"/>
          <w:kern w:val="2"/>
          <w:sz w:val="21"/>
          <w:szCs w:val="21"/>
          <w:highlight w:val="none"/>
          <w:lang w:val="en-US" w:eastAsia="zh-CN" w:bidi="ar-SA"/>
        </w:rPr>
        <w:t>—— 综合成新率。</w:t>
      </w:r>
    </w:p>
    <w:p>
      <w:pPr>
        <w:pStyle w:val="16"/>
        <w:numPr>
          <w:ilvl w:val="2"/>
          <w:numId w:val="1"/>
        </w:numPr>
        <w:spacing w:line="360" w:lineRule="auto"/>
        <w:ind w:left="720" w:leftChars="0" w:hanging="720" w:firstLineChars="0"/>
        <w:jc w:val="left"/>
        <w:rPr>
          <w:rFonts w:hint="eastAsia" w:ascii="Times New Roman" w:hAnsi="Times New Roman" w:eastAsia="黑体" w:cs="Times New Roman"/>
          <w:sz w:val="24"/>
          <w:szCs w:val="24"/>
          <w:highlight w:val="none"/>
          <w:lang w:val="en-US" w:eastAsia="zh-CN"/>
        </w:rPr>
      </w:pPr>
      <w:r>
        <w:rPr>
          <w:rFonts w:hint="eastAsia" w:ascii="Times New Roman" w:hAnsi="Times New Roman" w:eastAsia="黑体" w:cs="Times New Roman"/>
          <w:sz w:val="24"/>
          <w:szCs w:val="24"/>
          <w:highlight w:val="none"/>
          <w:lang w:val="en-US" w:eastAsia="zh-CN"/>
        </w:rPr>
        <w:t>车辆技术状况鉴定有关要求（附录E）</w:t>
      </w:r>
    </w:p>
    <w:p>
      <w:pPr>
        <w:spacing w:line="360" w:lineRule="auto"/>
        <w:ind w:firstLine="480" w:firstLineChars="200"/>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车辆的技术状况由车身外观、动力系统及传动系统、驾驶系统、启动、路试等项目组成鉴定要求，满分为100分。</w:t>
      </w:r>
    </w:p>
    <w:p>
      <w:pPr>
        <w:spacing w:line="360" w:lineRule="auto"/>
        <w:ind w:firstLine="480" w:firstLineChars="200"/>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（1）车身外观</w:t>
      </w:r>
    </w:p>
    <w:p>
      <w:pPr>
        <w:spacing w:line="360" w:lineRule="auto"/>
        <w:ind w:firstLine="480" w:firstLineChars="200"/>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车身外观包括前面板、覆盖件、仪表总成、减震器、前后轮总成等共计21个项目进行检查，共计35分。根据出现的缺陷描述进行打分。</w:t>
      </w:r>
    </w:p>
    <w:p>
      <w:pPr>
        <w:widowControl/>
        <w:spacing w:line="360" w:lineRule="auto"/>
        <w:jc w:val="both"/>
        <w:rPr>
          <w:rFonts w:asciiTheme="minorEastAsia" w:hAnsiTheme="minorEastAsia" w:eastAsiaTheme="minorEastAsia"/>
          <w:kern w:val="0"/>
          <w:sz w:val="24"/>
          <w:highlight w:val="none"/>
        </w:rPr>
      </w:pPr>
      <w:bookmarkStart w:id="1" w:name="_GoBack"/>
      <w:r>
        <w:rPr>
          <w:rFonts w:ascii="黑体" w:hAnsi="黑体" w:eastAsia="黑体"/>
          <w:szCs w:val="21"/>
          <w:highlight w:val="none"/>
        </w:rPr>
        <w:drawing>
          <wp:inline distT="0" distB="0" distL="0" distR="0">
            <wp:extent cx="5271770" cy="3964305"/>
            <wp:effectExtent l="0" t="0" r="11430" b="10795"/>
            <wp:docPr id="13" name="图片 13" descr="整车图-带数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整车图-带数字"/>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71770" cy="3964305"/>
                    </a:xfrm>
                    <a:prstGeom prst="rect">
                      <a:avLst/>
                    </a:prstGeom>
                    <a:noFill/>
                    <a:ln>
                      <a:noFill/>
                    </a:ln>
                  </pic:spPr>
                </pic:pic>
              </a:graphicData>
            </a:graphic>
          </wp:inline>
        </w:drawing>
      </w:r>
      <w:bookmarkEnd w:id="1"/>
    </w:p>
    <w:p>
      <w:pPr>
        <w:spacing w:line="360" w:lineRule="auto"/>
        <w:jc w:val="center"/>
        <w:rPr>
          <w:rFonts w:hint="eastAsia" w:ascii="Times New Roman" w:hAnsi="Times New Roman" w:eastAsia="黑体" w:cs="Times New Roman"/>
          <w:highlight w:val="none"/>
        </w:rPr>
      </w:pPr>
      <w:r>
        <w:rPr>
          <w:rFonts w:hint="eastAsia" w:ascii="Times New Roman" w:hAnsi="Times New Roman" w:eastAsia="黑体" w:cs="Times New Roman"/>
          <w:highlight w:val="none"/>
        </w:rPr>
        <w:t>图</w:t>
      </w:r>
      <w:r>
        <w:rPr>
          <w:rFonts w:hint="eastAsia" w:ascii="Times New Roman" w:hAnsi="Times New Roman" w:eastAsia="黑体" w:cs="Times New Roman"/>
          <w:highlight w:val="none"/>
          <w:lang w:val="en-US" w:eastAsia="zh-CN"/>
        </w:rPr>
        <w:t xml:space="preserve">4   </w:t>
      </w:r>
      <w:r>
        <w:rPr>
          <w:rFonts w:hint="eastAsia" w:ascii="Times New Roman" w:hAnsi="Times New Roman" w:eastAsia="黑体" w:cs="Times New Roman"/>
          <w:highlight w:val="none"/>
        </w:rPr>
        <w:t>车身外观示意图</w:t>
      </w:r>
    </w:p>
    <w:p>
      <w:pPr>
        <w:spacing w:line="360" w:lineRule="auto"/>
        <w:ind w:firstLine="480" w:firstLineChars="200"/>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（2）动力系统及传动系统</w:t>
      </w:r>
    </w:p>
    <w:p>
      <w:pPr>
        <w:spacing w:line="360" w:lineRule="auto"/>
        <w:ind w:firstLine="480" w:firstLineChars="200"/>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根据动力系统及传动系统中11个项目可能出现问题的严重性进行打分，总计25分。</w:t>
      </w:r>
    </w:p>
    <w:p>
      <w:pPr>
        <w:spacing w:line="360" w:lineRule="auto"/>
        <w:ind w:firstLine="480" w:firstLineChars="200"/>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（3）驾驶系统</w:t>
      </w:r>
    </w:p>
    <w:p>
      <w:pPr>
        <w:spacing w:line="360" w:lineRule="auto"/>
        <w:ind w:firstLine="480" w:firstLineChars="200"/>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在车辆静置状态下针对车辆进行功能性检查，包含7个项目，总计10分。</w:t>
      </w:r>
    </w:p>
    <w:p>
      <w:pPr>
        <w:spacing w:line="360" w:lineRule="auto"/>
        <w:ind w:firstLine="480" w:firstLineChars="200"/>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（4）启动</w:t>
      </w:r>
    </w:p>
    <w:p>
      <w:pPr>
        <w:spacing w:line="360" w:lineRule="auto"/>
        <w:ind w:firstLine="480" w:firstLineChars="200"/>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在车辆着车状态下对车辆运行状态及系统的功能完整性进行检查，包含9个项目，总计15分。</w:t>
      </w:r>
    </w:p>
    <w:p>
      <w:pPr>
        <w:spacing w:line="360" w:lineRule="auto"/>
        <w:ind w:firstLine="480" w:firstLineChars="200"/>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（5）路试</w:t>
      </w:r>
    </w:p>
    <w:p>
      <w:pPr>
        <w:spacing w:line="360" w:lineRule="auto"/>
        <w:ind w:firstLine="480" w:firstLineChars="200"/>
        <w:rPr>
          <w:rFonts w:hint="eastAsia" w:ascii="Times New Roman" w:hAnsi="Times New Roman" w:eastAsia="黑体" w:cs="Times New Roman"/>
          <w:highlight w:val="none"/>
          <w:lang w:val="en-US" w:eastAsia="zh-CN"/>
        </w:rPr>
      </w:pPr>
      <w:r>
        <w:rPr>
          <w:rFonts w:hint="eastAsia" w:ascii="Times New Roman" w:hAnsi="Times New Roman" w:eastAsia="宋体" w:cs="Times New Roman"/>
          <w:kern w:val="2"/>
          <w:sz w:val="24"/>
          <w:szCs w:val="24"/>
          <w:highlight w:val="none"/>
          <w:lang w:val="en-US" w:eastAsia="zh-CN" w:bidi="ar-SA"/>
        </w:rPr>
        <w:t>车辆行驶状态下，对车辆的功能状态及安全性进行检查，包含9个项目，总计15分。</w:t>
      </w:r>
    </w:p>
    <w:p>
      <w:pPr>
        <w:pStyle w:val="16"/>
        <w:numPr>
          <w:ilvl w:val="0"/>
          <w:numId w:val="1"/>
        </w:numPr>
        <w:spacing w:line="360" w:lineRule="auto"/>
        <w:ind w:firstLineChars="0"/>
        <w:jc w:val="left"/>
        <w:rPr>
          <w:rFonts w:ascii="Times New Roman" w:hAnsi="Times New Roman" w:eastAsia="黑体" w:cs="Times New Roman"/>
          <w:sz w:val="24"/>
          <w:szCs w:val="24"/>
          <w:highlight w:val="none"/>
        </w:rPr>
      </w:pPr>
      <w:r>
        <w:rPr>
          <w:rFonts w:ascii="Times New Roman" w:hAnsi="Times New Roman" w:eastAsia="黑体" w:cs="Times New Roman"/>
          <w:sz w:val="24"/>
          <w:szCs w:val="24"/>
          <w:highlight w:val="none"/>
        </w:rPr>
        <w:t>专利说明</w:t>
      </w:r>
    </w:p>
    <w:p>
      <w:pPr>
        <w:spacing w:line="360" w:lineRule="auto"/>
        <w:ind w:firstLine="480" w:firstLineChars="200"/>
        <w:jc w:val="left"/>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本标准不涉及专利。</w:t>
      </w:r>
    </w:p>
    <w:p>
      <w:pPr>
        <w:pStyle w:val="16"/>
        <w:numPr>
          <w:ilvl w:val="0"/>
          <w:numId w:val="1"/>
        </w:numPr>
        <w:spacing w:line="360" w:lineRule="auto"/>
        <w:ind w:firstLineChars="0"/>
        <w:rPr>
          <w:rFonts w:ascii="Times New Roman" w:hAnsi="Times New Roman" w:eastAsia="黑体" w:cs="Times New Roman"/>
          <w:sz w:val="24"/>
          <w:szCs w:val="24"/>
          <w:highlight w:val="none"/>
        </w:rPr>
      </w:pPr>
      <w:r>
        <w:rPr>
          <w:rFonts w:ascii="Times New Roman" w:hAnsi="Times New Roman" w:eastAsia="黑体" w:cs="Times New Roman"/>
          <w:sz w:val="24"/>
          <w:szCs w:val="24"/>
          <w:highlight w:val="none"/>
        </w:rPr>
        <w:t>预期达到的社会效益、对产业发展的作用等情况</w:t>
      </w:r>
    </w:p>
    <w:p>
      <w:pPr>
        <w:spacing w:line="360" w:lineRule="auto"/>
        <w:ind w:firstLine="480" w:firstLineChars="200"/>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本标准的发布，可以对摩托车二手车的市场流通起到促进的作用，使摩托车二手车鉴定评估方法有据可依，在规范操作流程的同时也使得摩托车二手车产品的安全性得到保障，很大程度上排除摩托车二手车行车安全隐患及违法风险，促进中国摩托车市场的良性发展。</w:t>
      </w:r>
    </w:p>
    <w:p>
      <w:pPr>
        <w:pStyle w:val="16"/>
        <w:numPr>
          <w:ilvl w:val="0"/>
          <w:numId w:val="1"/>
        </w:numPr>
        <w:spacing w:line="360" w:lineRule="auto"/>
        <w:ind w:firstLineChars="0"/>
        <w:rPr>
          <w:rFonts w:ascii="Times New Roman" w:hAnsi="Times New Roman" w:eastAsia="黑体" w:cs="Times New Roman"/>
          <w:sz w:val="24"/>
          <w:szCs w:val="24"/>
          <w:highlight w:val="none"/>
        </w:rPr>
      </w:pPr>
      <w:r>
        <w:rPr>
          <w:rFonts w:ascii="Times New Roman" w:hAnsi="Times New Roman" w:eastAsia="黑体" w:cs="Times New Roman"/>
          <w:sz w:val="24"/>
          <w:szCs w:val="24"/>
          <w:highlight w:val="none"/>
        </w:rPr>
        <w:t>采用国际标准和国外先进标准情况</w:t>
      </w:r>
    </w:p>
    <w:p>
      <w:pPr>
        <w:spacing w:line="360" w:lineRule="auto"/>
        <w:ind w:firstLine="480" w:firstLineChars="200"/>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尚无。</w:t>
      </w:r>
    </w:p>
    <w:p>
      <w:pPr>
        <w:pStyle w:val="16"/>
        <w:numPr>
          <w:ilvl w:val="0"/>
          <w:numId w:val="1"/>
        </w:numPr>
        <w:spacing w:line="360" w:lineRule="auto"/>
        <w:ind w:firstLineChars="0"/>
        <w:rPr>
          <w:rFonts w:ascii="Times New Roman" w:hAnsi="Times New Roman" w:eastAsia="黑体" w:cs="Times New Roman"/>
          <w:sz w:val="24"/>
          <w:szCs w:val="24"/>
          <w:highlight w:val="none"/>
        </w:rPr>
      </w:pPr>
      <w:r>
        <w:rPr>
          <w:rFonts w:ascii="Times New Roman" w:hAnsi="Times New Roman" w:eastAsia="黑体" w:cs="Times New Roman"/>
          <w:sz w:val="24"/>
          <w:szCs w:val="24"/>
          <w:highlight w:val="none"/>
        </w:rPr>
        <w:t>在标准体系中的位置，与现行相关法律、法规、规章及相关标准，特别是强制性标准的协调性。</w:t>
      </w:r>
    </w:p>
    <w:p>
      <w:pPr>
        <w:spacing w:line="360" w:lineRule="auto"/>
        <w:ind w:firstLine="480" w:firstLineChars="200"/>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本标准符合国家有关法律、法规和相关强制性标准的要求，与现行的国家标准、行业标准相协调。</w:t>
      </w:r>
    </w:p>
    <w:p>
      <w:pPr>
        <w:pStyle w:val="16"/>
        <w:numPr>
          <w:ilvl w:val="0"/>
          <w:numId w:val="1"/>
        </w:numPr>
        <w:spacing w:line="360" w:lineRule="auto"/>
        <w:ind w:firstLineChars="0"/>
        <w:rPr>
          <w:rFonts w:ascii="Times New Roman" w:hAnsi="Times New Roman" w:eastAsia="黑体" w:cs="Times New Roman"/>
          <w:sz w:val="24"/>
          <w:szCs w:val="24"/>
          <w:highlight w:val="none"/>
        </w:rPr>
      </w:pPr>
      <w:r>
        <w:rPr>
          <w:rFonts w:ascii="Times New Roman" w:hAnsi="Times New Roman" w:eastAsia="黑体" w:cs="Times New Roman"/>
          <w:sz w:val="24"/>
          <w:szCs w:val="24"/>
          <w:highlight w:val="none"/>
        </w:rPr>
        <w:t>重大分歧意见的处理过程和依据</w:t>
      </w:r>
    </w:p>
    <w:p>
      <w:pPr>
        <w:pStyle w:val="16"/>
        <w:spacing w:line="360" w:lineRule="auto"/>
        <w:ind w:left="420" w:firstLine="0" w:firstLineChars="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尚无。</w:t>
      </w:r>
    </w:p>
    <w:p>
      <w:pPr>
        <w:pStyle w:val="16"/>
        <w:numPr>
          <w:ilvl w:val="0"/>
          <w:numId w:val="1"/>
        </w:numPr>
        <w:spacing w:line="360" w:lineRule="auto"/>
        <w:ind w:firstLineChars="0"/>
        <w:rPr>
          <w:rFonts w:ascii="Times New Roman" w:hAnsi="Times New Roman" w:eastAsia="黑体" w:cs="Times New Roman"/>
          <w:sz w:val="24"/>
          <w:szCs w:val="24"/>
          <w:highlight w:val="none"/>
        </w:rPr>
      </w:pPr>
      <w:r>
        <w:rPr>
          <w:rFonts w:ascii="Times New Roman" w:hAnsi="Times New Roman" w:eastAsia="黑体" w:cs="Times New Roman"/>
          <w:sz w:val="24"/>
          <w:szCs w:val="24"/>
          <w:highlight w:val="none"/>
        </w:rPr>
        <w:t>标准性质的建议说明</w:t>
      </w:r>
    </w:p>
    <w:p>
      <w:pPr>
        <w:pStyle w:val="16"/>
        <w:spacing w:line="360" w:lineRule="auto"/>
        <w:ind w:left="420" w:firstLine="0" w:firstLineChars="0"/>
        <w:rPr>
          <w:rFonts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建议作为团体标准进行推广</w:t>
      </w:r>
      <w:r>
        <w:rPr>
          <w:rFonts w:ascii="Times New Roman" w:hAnsi="Times New Roman" w:eastAsia="宋体" w:cs="Times New Roman"/>
          <w:sz w:val="24"/>
          <w:szCs w:val="24"/>
          <w:highlight w:val="none"/>
        </w:rPr>
        <w:t>。</w:t>
      </w:r>
    </w:p>
    <w:p>
      <w:pPr>
        <w:pStyle w:val="16"/>
        <w:numPr>
          <w:ilvl w:val="0"/>
          <w:numId w:val="1"/>
        </w:numPr>
        <w:spacing w:line="360" w:lineRule="auto"/>
        <w:ind w:firstLineChars="0"/>
        <w:rPr>
          <w:rFonts w:ascii="Times New Roman" w:hAnsi="Times New Roman" w:eastAsia="黑体" w:cs="Times New Roman"/>
          <w:sz w:val="24"/>
          <w:szCs w:val="24"/>
          <w:highlight w:val="none"/>
        </w:rPr>
      </w:pPr>
      <w:r>
        <w:rPr>
          <w:rFonts w:ascii="Times New Roman" w:hAnsi="Times New Roman" w:eastAsia="黑体" w:cs="Times New Roman"/>
          <w:sz w:val="24"/>
          <w:szCs w:val="24"/>
          <w:highlight w:val="none"/>
        </w:rPr>
        <w:t>贯彻标准的要求和措施建议</w:t>
      </w:r>
    </w:p>
    <w:p>
      <w:pPr>
        <w:pStyle w:val="16"/>
        <w:spacing w:line="360" w:lineRule="auto"/>
        <w:ind w:left="420" w:firstLine="0" w:firstLineChars="0"/>
        <w:rPr>
          <w:rFonts w:ascii="Times New Roman" w:hAnsi="Times New Roman" w:eastAsia="宋体" w:cs="Times New Roman"/>
          <w:sz w:val="24"/>
          <w:szCs w:val="24"/>
          <w:highlight w:val="none"/>
        </w:rPr>
      </w:pPr>
      <w:bookmarkStart w:id="0" w:name="OLE_LINK2"/>
      <w:r>
        <w:rPr>
          <w:rFonts w:hint="eastAsia" w:ascii="Times New Roman" w:hAnsi="Times New Roman" w:eastAsia="宋体" w:cs="Times New Roman"/>
          <w:sz w:val="24"/>
          <w:szCs w:val="24"/>
          <w:highlight w:val="none"/>
        </w:rPr>
        <w:t>无。</w:t>
      </w:r>
    </w:p>
    <w:bookmarkEnd w:id="0"/>
    <w:p>
      <w:pPr>
        <w:pStyle w:val="16"/>
        <w:numPr>
          <w:ilvl w:val="0"/>
          <w:numId w:val="1"/>
        </w:numPr>
        <w:spacing w:line="360" w:lineRule="auto"/>
        <w:ind w:firstLineChars="0"/>
        <w:rPr>
          <w:rFonts w:ascii="Times New Roman" w:hAnsi="Times New Roman" w:eastAsia="黑体" w:cs="Times New Roman"/>
          <w:sz w:val="24"/>
          <w:szCs w:val="24"/>
          <w:highlight w:val="none"/>
        </w:rPr>
      </w:pPr>
      <w:r>
        <w:rPr>
          <w:rFonts w:ascii="Times New Roman" w:hAnsi="Times New Roman" w:eastAsia="黑体" w:cs="Times New Roman"/>
          <w:sz w:val="24"/>
          <w:szCs w:val="24"/>
          <w:highlight w:val="none"/>
        </w:rPr>
        <w:t>废止现行相关标准的建议</w:t>
      </w:r>
    </w:p>
    <w:p>
      <w:pPr>
        <w:pStyle w:val="16"/>
        <w:spacing w:line="360" w:lineRule="auto"/>
        <w:ind w:left="420" w:firstLine="0" w:firstLineChars="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无废止现行相关标准的建议。</w:t>
      </w:r>
    </w:p>
    <w:p>
      <w:pPr>
        <w:pStyle w:val="16"/>
        <w:numPr>
          <w:ilvl w:val="0"/>
          <w:numId w:val="1"/>
        </w:numPr>
        <w:spacing w:line="360" w:lineRule="auto"/>
        <w:ind w:firstLineChars="0"/>
        <w:rPr>
          <w:rFonts w:ascii="Times New Roman" w:hAnsi="Times New Roman" w:eastAsia="黑体" w:cs="Times New Roman"/>
          <w:sz w:val="24"/>
          <w:szCs w:val="24"/>
          <w:highlight w:val="none"/>
        </w:rPr>
      </w:pPr>
      <w:r>
        <w:rPr>
          <w:rFonts w:ascii="Times New Roman" w:hAnsi="Times New Roman" w:eastAsia="黑体" w:cs="Times New Roman"/>
          <w:sz w:val="24"/>
          <w:szCs w:val="24"/>
          <w:highlight w:val="none"/>
        </w:rPr>
        <w:t>其它应予说明的事项</w:t>
      </w:r>
    </w:p>
    <w:p>
      <w:pPr>
        <w:pStyle w:val="16"/>
        <w:spacing w:line="360" w:lineRule="auto"/>
        <w:ind w:left="420" w:firstLine="0" w:firstLineChars="0"/>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无。</w:t>
      </w:r>
    </w:p>
    <w:p>
      <w:pPr>
        <w:pStyle w:val="16"/>
        <w:spacing w:line="360" w:lineRule="auto"/>
        <w:ind w:left="420" w:firstLine="0" w:firstLineChars="0"/>
        <w:jc w:val="left"/>
        <w:rPr>
          <w:rFonts w:ascii="Times New Roman" w:hAnsi="Times New Roman" w:eastAsia="宋体" w:cs="Times New Roman"/>
          <w:sz w:val="24"/>
          <w:szCs w:val="24"/>
          <w:highlight w:val="none"/>
        </w:rPr>
      </w:pPr>
    </w:p>
    <w:p>
      <w:pPr>
        <w:pStyle w:val="16"/>
        <w:spacing w:line="360" w:lineRule="auto"/>
        <w:ind w:left="420" w:firstLine="0" w:firstLineChars="0"/>
        <w:jc w:val="right"/>
        <w:rPr>
          <w:rFonts w:ascii="Times New Roman" w:hAnsi="Times New Roman" w:eastAsia="宋体" w:cs="Times New Roman"/>
          <w:sz w:val="24"/>
          <w:szCs w:val="24"/>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E934E9"/>
    <w:multiLevelType w:val="multilevel"/>
    <w:tmpl w:val="5BE934E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7CF649CD"/>
    <w:multiLevelType w:val="multilevel"/>
    <w:tmpl w:val="7CF649CD"/>
    <w:lvl w:ilvl="0" w:tentative="0">
      <w:start w:val="1"/>
      <w:numFmt w:val="decimal"/>
      <w:lvlText w:val="%1."/>
      <w:lvlJc w:val="left"/>
      <w:pPr>
        <w:ind w:left="420" w:hanging="42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1ZjQ4MDQxODRjODU3NmJhNWQxZmE1NzRjOTEwODMifQ=="/>
  </w:docVars>
  <w:rsids>
    <w:rsidRoot w:val="000B587A"/>
    <w:rsid w:val="00022E9B"/>
    <w:rsid w:val="000344AE"/>
    <w:rsid w:val="00054692"/>
    <w:rsid w:val="00057A3D"/>
    <w:rsid w:val="00074C1D"/>
    <w:rsid w:val="00087AFD"/>
    <w:rsid w:val="000B587A"/>
    <w:rsid w:val="000C1EBA"/>
    <w:rsid w:val="000E78C1"/>
    <w:rsid w:val="00110DBC"/>
    <w:rsid w:val="00133104"/>
    <w:rsid w:val="00153606"/>
    <w:rsid w:val="00153B4E"/>
    <w:rsid w:val="00155001"/>
    <w:rsid w:val="00163730"/>
    <w:rsid w:val="00183A48"/>
    <w:rsid w:val="001A3C86"/>
    <w:rsid w:val="001C1564"/>
    <w:rsid w:val="001C3C86"/>
    <w:rsid w:val="001E69AF"/>
    <w:rsid w:val="00207534"/>
    <w:rsid w:val="00235052"/>
    <w:rsid w:val="00255275"/>
    <w:rsid w:val="0027077B"/>
    <w:rsid w:val="002735F7"/>
    <w:rsid w:val="002736A8"/>
    <w:rsid w:val="0027416A"/>
    <w:rsid w:val="002770CA"/>
    <w:rsid w:val="002A2093"/>
    <w:rsid w:val="002A5428"/>
    <w:rsid w:val="002D4B69"/>
    <w:rsid w:val="00323B5B"/>
    <w:rsid w:val="00341CE3"/>
    <w:rsid w:val="003502F2"/>
    <w:rsid w:val="0035538D"/>
    <w:rsid w:val="0038247D"/>
    <w:rsid w:val="003A5F00"/>
    <w:rsid w:val="003E3A47"/>
    <w:rsid w:val="004018E7"/>
    <w:rsid w:val="00407550"/>
    <w:rsid w:val="004465FC"/>
    <w:rsid w:val="00464AA1"/>
    <w:rsid w:val="00471205"/>
    <w:rsid w:val="00472229"/>
    <w:rsid w:val="00474685"/>
    <w:rsid w:val="004A2838"/>
    <w:rsid w:val="004B12C0"/>
    <w:rsid w:val="004B7A5F"/>
    <w:rsid w:val="004E1F46"/>
    <w:rsid w:val="00503751"/>
    <w:rsid w:val="00503811"/>
    <w:rsid w:val="00512C89"/>
    <w:rsid w:val="00525B1C"/>
    <w:rsid w:val="00533822"/>
    <w:rsid w:val="00534221"/>
    <w:rsid w:val="00540976"/>
    <w:rsid w:val="00552579"/>
    <w:rsid w:val="00555727"/>
    <w:rsid w:val="00587B45"/>
    <w:rsid w:val="00607B72"/>
    <w:rsid w:val="0061072D"/>
    <w:rsid w:val="00612239"/>
    <w:rsid w:val="00643995"/>
    <w:rsid w:val="0065291A"/>
    <w:rsid w:val="00655EE6"/>
    <w:rsid w:val="006741D7"/>
    <w:rsid w:val="00694C78"/>
    <w:rsid w:val="006F60D4"/>
    <w:rsid w:val="007000C1"/>
    <w:rsid w:val="00734833"/>
    <w:rsid w:val="00746109"/>
    <w:rsid w:val="00747D2C"/>
    <w:rsid w:val="00755B4B"/>
    <w:rsid w:val="007625D5"/>
    <w:rsid w:val="00763D44"/>
    <w:rsid w:val="00792A1A"/>
    <w:rsid w:val="007A4721"/>
    <w:rsid w:val="007B4E1E"/>
    <w:rsid w:val="007D0557"/>
    <w:rsid w:val="007E5209"/>
    <w:rsid w:val="008049AE"/>
    <w:rsid w:val="00824F2C"/>
    <w:rsid w:val="008B1434"/>
    <w:rsid w:val="008E3AA0"/>
    <w:rsid w:val="008F633F"/>
    <w:rsid w:val="00910056"/>
    <w:rsid w:val="00947DB8"/>
    <w:rsid w:val="00954947"/>
    <w:rsid w:val="00966A1E"/>
    <w:rsid w:val="009951E3"/>
    <w:rsid w:val="009A6A08"/>
    <w:rsid w:val="009A6BFF"/>
    <w:rsid w:val="009B2383"/>
    <w:rsid w:val="009E0960"/>
    <w:rsid w:val="009E1FD1"/>
    <w:rsid w:val="009F3625"/>
    <w:rsid w:val="009F637D"/>
    <w:rsid w:val="00A26D57"/>
    <w:rsid w:val="00A46F90"/>
    <w:rsid w:val="00A6641F"/>
    <w:rsid w:val="00A94A20"/>
    <w:rsid w:val="00A97694"/>
    <w:rsid w:val="00AA7428"/>
    <w:rsid w:val="00AA7CBC"/>
    <w:rsid w:val="00AC19BF"/>
    <w:rsid w:val="00AE6FAA"/>
    <w:rsid w:val="00AF182E"/>
    <w:rsid w:val="00AF6EA1"/>
    <w:rsid w:val="00B17993"/>
    <w:rsid w:val="00B26D7C"/>
    <w:rsid w:val="00B27E01"/>
    <w:rsid w:val="00B32214"/>
    <w:rsid w:val="00B36B7C"/>
    <w:rsid w:val="00B655E9"/>
    <w:rsid w:val="00B711B9"/>
    <w:rsid w:val="00B769C3"/>
    <w:rsid w:val="00B77B73"/>
    <w:rsid w:val="00B87083"/>
    <w:rsid w:val="00B94F99"/>
    <w:rsid w:val="00BB1FE1"/>
    <w:rsid w:val="00BB28BB"/>
    <w:rsid w:val="00BC7B69"/>
    <w:rsid w:val="00BE2556"/>
    <w:rsid w:val="00C115C2"/>
    <w:rsid w:val="00C157A2"/>
    <w:rsid w:val="00C25169"/>
    <w:rsid w:val="00C74DF6"/>
    <w:rsid w:val="00CC4F04"/>
    <w:rsid w:val="00CC6F54"/>
    <w:rsid w:val="00CE4C50"/>
    <w:rsid w:val="00CF6D76"/>
    <w:rsid w:val="00D11CE4"/>
    <w:rsid w:val="00D1411F"/>
    <w:rsid w:val="00D20B9F"/>
    <w:rsid w:val="00D327C2"/>
    <w:rsid w:val="00D533E1"/>
    <w:rsid w:val="00D608FE"/>
    <w:rsid w:val="00D752FA"/>
    <w:rsid w:val="00D85DB2"/>
    <w:rsid w:val="00DA1F6F"/>
    <w:rsid w:val="00DF5167"/>
    <w:rsid w:val="00DF7DFB"/>
    <w:rsid w:val="00E22E5B"/>
    <w:rsid w:val="00E25DD8"/>
    <w:rsid w:val="00E4181E"/>
    <w:rsid w:val="00E5134B"/>
    <w:rsid w:val="00E76275"/>
    <w:rsid w:val="00EA0050"/>
    <w:rsid w:val="00EC2ABD"/>
    <w:rsid w:val="00EC4863"/>
    <w:rsid w:val="00EF5BFC"/>
    <w:rsid w:val="00F113A0"/>
    <w:rsid w:val="00F15C33"/>
    <w:rsid w:val="00F73D2B"/>
    <w:rsid w:val="00F864A3"/>
    <w:rsid w:val="00F965F5"/>
    <w:rsid w:val="00FB1D73"/>
    <w:rsid w:val="00FD5B1D"/>
    <w:rsid w:val="00FF354F"/>
    <w:rsid w:val="01526ABB"/>
    <w:rsid w:val="0413149C"/>
    <w:rsid w:val="04DF4E76"/>
    <w:rsid w:val="0C986D02"/>
    <w:rsid w:val="0E2C4F72"/>
    <w:rsid w:val="0E5E7EC3"/>
    <w:rsid w:val="12747B4B"/>
    <w:rsid w:val="160C46A9"/>
    <w:rsid w:val="1634171C"/>
    <w:rsid w:val="1A637E8D"/>
    <w:rsid w:val="1B792F1B"/>
    <w:rsid w:val="1EBC3110"/>
    <w:rsid w:val="21FA2A4D"/>
    <w:rsid w:val="220B4F86"/>
    <w:rsid w:val="22917087"/>
    <w:rsid w:val="22B42350"/>
    <w:rsid w:val="25113A8A"/>
    <w:rsid w:val="28AD6E57"/>
    <w:rsid w:val="28EA325F"/>
    <w:rsid w:val="29B26656"/>
    <w:rsid w:val="2AC5334C"/>
    <w:rsid w:val="2F5E78CC"/>
    <w:rsid w:val="2F7E0D50"/>
    <w:rsid w:val="30343A27"/>
    <w:rsid w:val="35155971"/>
    <w:rsid w:val="36A22794"/>
    <w:rsid w:val="39744D5A"/>
    <w:rsid w:val="3C4B11D8"/>
    <w:rsid w:val="3CF07E1F"/>
    <w:rsid w:val="3FC17179"/>
    <w:rsid w:val="42E91C14"/>
    <w:rsid w:val="467702E4"/>
    <w:rsid w:val="472E7960"/>
    <w:rsid w:val="482C3818"/>
    <w:rsid w:val="4AD0567D"/>
    <w:rsid w:val="4BA6467C"/>
    <w:rsid w:val="4BDE0E8E"/>
    <w:rsid w:val="4D1E6B72"/>
    <w:rsid w:val="4E673070"/>
    <w:rsid w:val="52715007"/>
    <w:rsid w:val="57034731"/>
    <w:rsid w:val="575B32EB"/>
    <w:rsid w:val="5A6D19E9"/>
    <w:rsid w:val="5CD03307"/>
    <w:rsid w:val="5CF11842"/>
    <w:rsid w:val="655F6659"/>
    <w:rsid w:val="67CF169B"/>
    <w:rsid w:val="69792077"/>
    <w:rsid w:val="6FB42615"/>
    <w:rsid w:val="74257F85"/>
    <w:rsid w:val="77297643"/>
    <w:rsid w:val="78F00132"/>
    <w:rsid w:val="79836945"/>
    <w:rsid w:val="7B5A0AF2"/>
    <w:rsid w:val="7C17535C"/>
    <w:rsid w:val="7C40154C"/>
    <w:rsid w:val="7D6E64F9"/>
    <w:rsid w:val="7D875130"/>
    <w:rsid w:val="7F531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Balloon Text"/>
    <w:basedOn w:val="1"/>
    <w:link w:val="21"/>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qFormat/>
    <w:uiPriority w:val="0"/>
    <w:pPr>
      <w:ind w:left="210"/>
      <w:jc w:val="left"/>
    </w:pPr>
    <w:rPr>
      <w:rFonts w:ascii="Calibri" w:hAnsi="Calibri" w:eastAsia="宋体" w:cs="Times New Roman"/>
      <w:smallCaps/>
      <w:sz w:val="20"/>
      <w:szCs w:val="20"/>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2"/>
    <w:next w:val="2"/>
    <w:link w:val="19"/>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character" w:styleId="13">
    <w:name w:val="annotation reference"/>
    <w:basedOn w:val="11"/>
    <w:semiHidden/>
    <w:unhideWhenUsed/>
    <w:qFormat/>
    <w:uiPriority w:val="99"/>
    <w:rPr>
      <w:sz w:val="21"/>
      <w:szCs w:val="21"/>
    </w:rPr>
  </w:style>
  <w:style w:type="character" w:customStyle="1" w:styleId="14">
    <w:name w:val="页眉 字符"/>
    <w:basedOn w:val="11"/>
    <w:link w:val="5"/>
    <w:qFormat/>
    <w:uiPriority w:val="99"/>
    <w:rPr>
      <w:sz w:val="18"/>
      <w:szCs w:val="18"/>
    </w:rPr>
  </w:style>
  <w:style w:type="character" w:customStyle="1" w:styleId="15">
    <w:name w:val="页脚 字符"/>
    <w:basedOn w:val="11"/>
    <w:link w:val="4"/>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未处理的提及1"/>
    <w:basedOn w:val="11"/>
    <w:semiHidden/>
    <w:unhideWhenUsed/>
    <w:qFormat/>
    <w:uiPriority w:val="99"/>
    <w:rPr>
      <w:color w:val="605E5C"/>
      <w:shd w:val="clear" w:color="auto" w:fill="E1DFDD"/>
    </w:rPr>
  </w:style>
  <w:style w:type="character" w:customStyle="1" w:styleId="18">
    <w:name w:val="批注文字 字符"/>
    <w:basedOn w:val="11"/>
    <w:link w:val="2"/>
    <w:semiHidden/>
    <w:qFormat/>
    <w:uiPriority w:val="99"/>
  </w:style>
  <w:style w:type="character" w:customStyle="1" w:styleId="19">
    <w:name w:val="批注主题 字符"/>
    <w:basedOn w:val="18"/>
    <w:link w:val="8"/>
    <w:semiHidden/>
    <w:qFormat/>
    <w:uiPriority w:val="99"/>
    <w:rPr>
      <w:b/>
      <w:bCs/>
    </w:rPr>
  </w:style>
  <w:style w:type="paragraph" w:customStyle="1" w:styleId="20">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1">
    <w:name w:val="批注框文本 字符"/>
    <w:basedOn w:val="11"/>
    <w:link w:val="3"/>
    <w:semiHidden/>
    <w:qFormat/>
    <w:uiPriority w:val="99"/>
    <w:rPr>
      <w:sz w:val="18"/>
      <w:szCs w:val="18"/>
    </w:rPr>
  </w:style>
  <w:style w:type="paragraph" w:customStyle="1" w:styleId="22">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wmf"/><Relationship Id="rId7" Type="http://schemas.openxmlformats.org/officeDocument/2006/relationships/oleObject" Target="embeddings/oleObject1.bin"/><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599</Words>
  <Characters>3419</Characters>
  <Lines>28</Lines>
  <Paragraphs>8</Paragraphs>
  <TotalTime>2</TotalTime>
  <ScaleCrop>false</ScaleCrop>
  <LinksUpToDate>false</LinksUpToDate>
  <CharactersWithSpaces>4010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2022-08-16T03:16:00Z</dcterms:created>
  <dc:creator>wu zhengjie</dc:creator>
  <cp:lastModifiedBy>HR</cp:lastModifiedBy>
  <dcterms:modified xsi:type="dcterms:W3CDTF">2023-11-16T09:44:24Z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5C6B5C7308CD4182AAC561D54543780F_13</vt:lpwstr>
  </property>
</Properties>
</file>