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cs="Times New Roman"/>
        </w:rPr>
      </w:pPr>
      <w:bookmarkStart w:id="0" w:name="_Hlk64896309"/>
    </w:p>
    <w:p>
      <w:pPr>
        <w:pStyle w:val="11"/>
        <w:tabs>
          <w:tab w:val="left" w:pos="2742"/>
        </w:tabs>
        <w:spacing w:line="480" w:lineRule="auto"/>
        <w:rPr>
          <w:rFonts w:ascii="Times New Roman" w:cs="Times New Roman"/>
          <w:sz w:val="44"/>
          <w:szCs w:val="44"/>
        </w:rPr>
      </w:pPr>
      <w:r>
        <w:rPr>
          <w:rFonts w:ascii="Times New Roman" w:cs="Times New Roman"/>
          <w:sz w:val="44"/>
          <w:szCs w:val="44"/>
        </w:rPr>
        <w:tab/>
      </w:r>
    </w:p>
    <w:p>
      <w:pPr>
        <w:pStyle w:val="11"/>
        <w:tabs>
          <w:tab w:val="left" w:pos="2742"/>
        </w:tabs>
        <w:spacing w:line="480" w:lineRule="auto"/>
        <w:rPr>
          <w:rFonts w:ascii="Times New Roman" w:cs="Times New Roman"/>
          <w:sz w:val="44"/>
          <w:szCs w:val="44"/>
        </w:rPr>
      </w:pPr>
    </w:p>
    <w:p>
      <w:pPr>
        <w:pStyle w:val="11"/>
        <w:spacing w:line="480" w:lineRule="auto"/>
        <w:rPr>
          <w:rFonts w:ascii="Times New Roman" w:cs="Times New Roman"/>
          <w:sz w:val="44"/>
          <w:szCs w:val="44"/>
        </w:rPr>
      </w:pPr>
    </w:p>
    <w:p>
      <w:pPr>
        <w:pStyle w:val="11"/>
        <w:spacing w:line="480" w:lineRule="auto"/>
        <w:jc w:val="center"/>
        <w:rPr>
          <w:rFonts w:ascii="Times New Roman" w:eastAsia="黑体" w:cs="Times New Roman"/>
          <w:sz w:val="52"/>
          <w:szCs w:val="52"/>
        </w:rPr>
      </w:pPr>
      <w:r>
        <w:rPr>
          <w:rFonts w:hint="eastAsia" w:ascii="Times New Roman" w:eastAsia="黑体" w:cs="Times New Roman"/>
          <w:sz w:val="52"/>
          <w:szCs w:val="52"/>
          <w:lang w:val="en-US" w:eastAsia="zh-CN"/>
        </w:rPr>
        <w:t>团体</w:t>
      </w:r>
      <w:r>
        <w:rPr>
          <w:rFonts w:ascii="Times New Roman" w:eastAsia="黑体" w:cs="Times New Roman"/>
          <w:sz w:val="52"/>
          <w:szCs w:val="52"/>
        </w:rPr>
        <w:t>标准</w:t>
      </w:r>
    </w:p>
    <w:p>
      <w:pPr>
        <w:pStyle w:val="11"/>
        <w:spacing w:line="480" w:lineRule="auto"/>
        <w:jc w:val="center"/>
        <w:rPr>
          <w:rFonts w:ascii="Times New Roman" w:eastAsia="黑体" w:cs="Times New Roman"/>
          <w:sz w:val="52"/>
          <w:szCs w:val="52"/>
        </w:rPr>
      </w:pPr>
      <w:r>
        <w:rPr>
          <w:rFonts w:ascii="Times New Roman" w:eastAsia="黑体" w:cs="Times New Roman"/>
          <w:sz w:val="52"/>
          <w:szCs w:val="52"/>
        </w:rPr>
        <w:t>《电动摩托车和电动轻便摩托车用锂离子电池管理系统》</w:t>
      </w:r>
    </w:p>
    <w:p>
      <w:pPr>
        <w:pStyle w:val="11"/>
        <w:jc w:val="center"/>
        <w:rPr>
          <w:rFonts w:ascii="Times New Roman" w:eastAsia="黑体" w:cs="Times New Roman"/>
          <w:sz w:val="32"/>
          <w:szCs w:val="32"/>
        </w:rPr>
      </w:pPr>
      <w:r>
        <w:rPr>
          <w:rFonts w:ascii="Times New Roman" w:eastAsia="黑体" w:cs="Times New Roman"/>
          <w:sz w:val="32"/>
          <w:szCs w:val="32"/>
        </w:rPr>
        <w:t>（</w:t>
      </w:r>
      <w:r>
        <w:rPr>
          <w:rFonts w:hint="eastAsia" w:ascii="Times New Roman" w:eastAsia="黑体" w:cs="Times New Roman"/>
          <w:sz w:val="32"/>
          <w:szCs w:val="32"/>
          <w:lang w:val="en-US" w:eastAsia="zh-CN"/>
        </w:rPr>
        <w:t>征求意见</w:t>
      </w:r>
      <w:r>
        <w:rPr>
          <w:rFonts w:hint="eastAsia" w:ascii="Times New Roman" w:eastAsia="黑体" w:cs="Times New Roman"/>
          <w:sz w:val="32"/>
          <w:szCs w:val="32"/>
        </w:rPr>
        <w:t>稿</w:t>
      </w:r>
      <w:r>
        <w:rPr>
          <w:rFonts w:ascii="Times New Roman" w:eastAsia="黑体" w:cs="Times New Roman"/>
          <w:sz w:val="32"/>
          <w:szCs w:val="32"/>
        </w:rPr>
        <w:t>）</w:t>
      </w:r>
    </w:p>
    <w:p>
      <w:pPr>
        <w:pStyle w:val="11"/>
        <w:jc w:val="center"/>
        <w:rPr>
          <w:rFonts w:ascii="Times New Roman" w:cs="Times New Roman"/>
          <w:sz w:val="52"/>
          <w:szCs w:val="52"/>
        </w:rPr>
      </w:pPr>
      <w:r>
        <w:rPr>
          <w:rFonts w:ascii="Times New Roman" w:eastAsia="黑体" w:cs="Times New Roman"/>
          <w:sz w:val="52"/>
          <w:szCs w:val="52"/>
        </w:rPr>
        <w:t>编制说明</w:t>
      </w:r>
    </w:p>
    <w:p>
      <w:pPr>
        <w:pStyle w:val="11"/>
        <w:rPr>
          <w:rFonts w:ascii="Times New Roman" w:cs="Times New Roman"/>
          <w:sz w:val="52"/>
          <w:szCs w:val="52"/>
        </w:rPr>
      </w:pPr>
    </w:p>
    <w:p>
      <w:pPr>
        <w:pStyle w:val="11"/>
        <w:rPr>
          <w:rFonts w:ascii="Times New Roman" w:cs="Times New Roman"/>
          <w:sz w:val="52"/>
          <w:szCs w:val="52"/>
        </w:rPr>
      </w:pPr>
    </w:p>
    <w:p>
      <w:pPr>
        <w:pStyle w:val="11"/>
        <w:rPr>
          <w:rFonts w:ascii="Times New Roman" w:cs="Times New Roman"/>
          <w:sz w:val="52"/>
          <w:szCs w:val="52"/>
        </w:rPr>
      </w:pPr>
    </w:p>
    <w:p>
      <w:pPr>
        <w:pStyle w:val="11"/>
        <w:rPr>
          <w:rFonts w:ascii="Times New Roman" w:cs="Times New Roman"/>
          <w:sz w:val="52"/>
          <w:szCs w:val="52"/>
        </w:rPr>
      </w:pPr>
    </w:p>
    <w:p>
      <w:pPr>
        <w:pStyle w:val="11"/>
        <w:rPr>
          <w:rFonts w:ascii="Times New Roman" w:cs="Times New Roman"/>
          <w:sz w:val="52"/>
          <w:szCs w:val="52"/>
        </w:rPr>
      </w:pPr>
    </w:p>
    <w:p>
      <w:pPr>
        <w:ind w:firstLine="0" w:firstLineChars="0"/>
        <w:rPr>
          <w:sz w:val="28"/>
          <w:szCs w:val="28"/>
        </w:rPr>
      </w:pPr>
    </w:p>
    <w:p>
      <w:pPr>
        <w:ind w:firstLine="0" w:firstLineChars="0"/>
        <w:rPr>
          <w:sz w:val="28"/>
          <w:szCs w:val="28"/>
        </w:rPr>
      </w:pPr>
    </w:p>
    <w:p>
      <w:pPr>
        <w:ind w:firstLine="0" w:firstLineChars="0"/>
        <w:rPr>
          <w:sz w:val="28"/>
          <w:szCs w:val="28"/>
        </w:rPr>
      </w:pPr>
    </w:p>
    <w:p>
      <w:pPr>
        <w:ind w:firstLine="0" w:firstLineChars="0"/>
        <w:rPr>
          <w:sz w:val="28"/>
          <w:szCs w:val="28"/>
        </w:rPr>
      </w:pPr>
    </w:p>
    <w:p>
      <w:pPr>
        <w:ind w:firstLine="0" w:firstLineChars="0"/>
        <w:jc w:val="center"/>
        <w:rPr>
          <w:sz w:val="28"/>
          <w:szCs w:val="28"/>
        </w:rPr>
      </w:pPr>
      <w:r>
        <w:rPr>
          <w:sz w:val="28"/>
          <w:szCs w:val="28"/>
        </w:rPr>
        <w:t>标准起草项目组</w:t>
      </w:r>
    </w:p>
    <w:p>
      <w:pPr>
        <w:pStyle w:val="11"/>
        <w:jc w:val="center"/>
        <w:outlineLvl w:val="0"/>
        <w:rPr>
          <w:rFonts w:ascii="Times New Roman" w:cs="Times New Roman"/>
          <w:bCs/>
          <w:sz w:val="28"/>
          <w:szCs w:val="28"/>
        </w:rPr>
      </w:pPr>
      <w:bookmarkStart w:id="1" w:name="_Toc1833"/>
      <w:bookmarkStart w:id="2" w:name="_Toc36212234"/>
      <w:bookmarkStart w:id="3" w:name="_Toc4474"/>
      <w:bookmarkStart w:id="4" w:name="_Toc6563"/>
      <w:r>
        <w:rPr>
          <w:rFonts w:ascii="Times New Roman" w:cs="Times New Roman"/>
          <w:bCs/>
          <w:sz w:val="28"/>
          <w:szCs w:val="28"/>
        </w:rPr>
        <w:t>202</w:t>
      </w:r>
      <w:r>
        <w:rPr>
          <w:rFonts w:hint="eastAsia" w:ascii="Times New Roman" w:cs="Times New Roman"/>
          <w:bCs/>
          <w:sz w:val="28"/>
          <w:szCs w:val="28"/>
          <w:lang w:val="en-US" w:eastAsia="zh-CN"/>
        </w:rPr>
        <w:t>4</w:t>
      </w:r>
      <w:r>
        <w:rPr>
          <w:rFonts w:ascii="Times New Roman" w:cs="Times New Roman"/>
          <w:bCs/>
          <w:sz w:val="28"/>
          <w:szCs w:val="28"/>
        </w:rPr>
        <w:t>年</w:t>
      </w:r>
      <w:r>
        <w:rPr>
          <w:rFonts w:hint="eastAsia" w:ascii="Times New Roman" w:cs="Times New Roman"/>
          <w:bCs/>
          <w:sz w:val="28"/>
          <w:szCs w:val="28"/>
          <w:lang w:val="en-US" w:eastAsia="zh-CN"/>
        </w:rPr>
        <w:t>2</w:t>
      </w:r>
      <w:r>
        <w:rPr>
          <w:rFonts w:ascii="Times New Roman" w:cs="Times New Roman"/>
          <w:bCs/>
          <w:sz w:val="28"/>
          <w:szCs w:val="28"/>
        </w:rPr>
        <w:t>月</w:t>
      </w:r>
      <w:bookmarkEnd w:id="1"/>
      <w:bookmarkEnd w:id="2"/>
      <w:bookmarkEnd w:id="3"/>
      <w:bookmarkEnd w:id="4"/>
      <w:bookmarkStart w:id="5" w:name="_Toc12015"/>
      <w:bookmarkStart w:id="6" w:name="_Toc4065"/>
      <w:bookmarkStart w:id="7" w:name="_Toc29559"/>
      <w:bookmarkStart w:id="8" w:name="_Toc30310"/>
      <w:bookmarkStart w:id="9" w:name="_Toc28417"/>
      <w:bookmarkStart w:id="10" w:name="_Toc36212235"/>
      <w:bookmarkStart w:id="11" w:name="_Toc28374"/>
    </w:p>
    <w:bookmarkEnd w:id="0"/>
    <w:p>
      <w:pPr>
        <w:pStyle w:val="11"/>
        <w:jc w:val="center"/>
        <w:outlineLvl w:val="0"/>
        <w:rPr>
          <w:rFonts w:ascii="Times New Roman" w:cs="Times New Roman"/>
          <w:bCs/>
          <w:sz w:val="28"/>
          <w:szCs w:val="28"/>
        </w:rPr>
      </w:pPr>
    </w:p>
    <w:p>
      <w:pPr>
        <w:pStyle w:val="11"/>
        <w:jc w:val="center"/>
        <w:outlineLvl w:val="0"/>
        <w:rPr>
          <w:rFonts w:ascii="Times New Roman" w:eastAsia="黑体" w:cs="Times New Roman"/>
        </w:rPr>
      </w:pPr>
    </w:p>
    <w:p>
      <w:pPr>
        <w:pStyle w:val="11"/>
        <w:spacing w:before="156" w:beforeLines="50" w:after="156" w:afterLines="50"/>
        <w:jc w:val="center"/>
        <w:outlineLvl w:val="0"/>
        <w:rPr>
          <w:rFonts w:ascii="Times New Roman" w:eastAsia="黑体" w:cs="Times New Roman"/>
          <w:sz w:val="28"/>
          <w:szCs w:val="28"/>
        </w:rPr>
      </w:pPr>
      <w:bookmarkStart w:id="12" w:name="_Hlk64896338"/>
      <w:r>
        <w:rPr>
          <w:rFonts w:ascii="Times New Roman" w:eastAsia="黑体" w:cs="Times New Roman"/>
          <w:sz w:val="28"/>
          <w:szCs w:val="28"/>
        </w:rPr>
        <w:t>目</w:t>
      </w:r>
      <w:bookmarkStart w:id="13" w:name="BKML"/>
      <w:r>
        <w:rPr>
          <w:rFonts w:ascii="Times New Roman" w:eastAsia="黑体" w:cs="Times New Roman"/>
          <w:sz w:val="28"/>
          <w:szCs w:val="28"/>
        </w:rPr>
        <w:t xml:space="preserve">  次</w:t>
      </w:r>
      <w:bookmarkEnd w:id="5"/>
      <w:bookmarkEnd w:id="6"/>
      <w:bookmarkEnd w:id="7"/>
      <w:bookmarkEnd w:id="13"/>
      <w:r>
        <w:rPr>
          <w:rFonts w:ascii="Times New Roman" w:cs="Times New Roman"/>
        </w:rPr>
        <w:fldChar w:fldCharType="begin"/>
      </w:r>
      <w:r>
        <w:rPr>
          <w:rFonts w:ascii="Times New Roman" w:cs="Times New Roman"/>
        </w:rPr>
        <w:instrText xml:space="preserve">TOC \o "1-2" \h \u </w:instrText>
      </w:r>
      <w:r>
        <w:rPr>
          <w:rFonts w:ascii="Times New Roman" w:cs="Times New Roman"/>
        </w:rPr>
        <w:fldChar w:fldCharType="separate"/>
      </w:r>
    </w:p>
    <w:p>
      <w:pPr>
        <w:pStyle w:val="5"/>
        <w:tabs>
          <w:tab w:val="right" w:leader="dot" w:pos="8306"/>
        </w:tabs>
        <w:spacing w:line="400" w:lineRule="exact"/>
        <w:ind w:firstLine="420"/>
        <w:rPr>
          <w:rFonts w:eastAsia="黑体"/>
        </w:rPr>
      </w:pPr>
      <w:r>
        <w:fldChar w:fldCharType="begin"/>
      </w:r>
      <w:r>
        <w:instrText xml:space="preserve"> HYPERLINK \l "_Toc528" </w:instrText>
      </w:r>
      <w:r>
        <w:fldChar w:fldCharType="separate"/>
      </w:r>
      <w:r>
        <w:rPr>
          <w:rFonts w:eastAsia="黑体"/>
          <w:bCs/>
          <w:szCs w:val="21"/>
        </w:rPr>
        <w:t>一、 工作简况</w:t>
      </w:r>
      <w:r>
        <w:rPr>
          <w:rFonts w:eastAsia="黑体"/>
        </w:rPr>
        <w:tab/>
      </w:r>
      <w:r>
        <w:rPr>
          <w:rFonts w:eastAsia="黑体"/>
        </w:rPr>
        <w:fldChar w:fldCharType="begin"/>
      </w:r>
      <w:r>
        <w:rPr>
          <w:rFonts w:eastAsia="黑体"/>
        </w:rPr>
        <w:instrText xml:space="preserve"> PAGEREF _Toc528 \h </w:instrText>
      </w:r>
      <w:r>
        <w:rPr>
          <w:rFonts w:eastAsia="黑体"/>
        </w:rPr>
        <w:fldChar w:fldCharType="separate"/>
      </w:r>
      <w:r>
        <w:rPr>
          <w:rFonts w:eastAsia="黑体"/>
        </w:rPr>
        <w:t>1</w:t>
      </w:r>
      <w:r>
        <w:rPr>
          <w:rFonts w:eastAsia="黑体"/>
        </w:rPr>
        <w:fldChar w:fldCharType="end"/>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"_Toc9210" </w:instrText>
      </w:r>
      <w:r>
        <w:fldChar w:fldCharType="separate"/>
      </w:r>
      <w:r>
        <w:rPr>
          <w:rFonts w:eastAsia="黑体"/>
          <w:bCs/>
          <w:szCs w:val="21"/>
        </w:rPr>
        <w:t xml:space="preserve">二、 </w:t>
      </w:r>
      <w:r>
        <w:rPr>
          <w:rFonts w:hint="eastAsia" w:eastAsia="黑体"/>
          <w:bCs/>
          <w:szCs w:val="21"/>
          <w:lang w:val="en-US" w:eastAsia="zh-CN"/>
        </w:rPr>
        <w:t>团体</w:t>
      </w:r>
      <w:r>
        <w:rPr>
          <w:rFonts w:eastAsia="黑体"/>
          <w:bCs/>
          <w:szCs w:val="21"/>
        </w:rPr>
        <w:t>标准编制原则和确定</w:t>
      </w:r>
      <w:r>
        <w:rPr>
          <w:rFonts w:hint="eastAsia" w:eastAsia="黑体"/>
          <w:bCs/>
          <w:szCs w:val="21"/>
          <w:lang w:val="en-US" w:eastAsia="zh-CN"/>
        </w:rPr>
        <w:t>团体</w:t>
      </w:r>
      <w:r>
        <w:rPr>
          <w:rFonts w:eastAsia="黑体"/>
          <w:bCs/>
          <w:szCs w:val="21"/>
        </w:rPr>
        <w:t>标准主要内容依据</w:t>
      </w:r>
      <w:r>
        <w:rPr>
          <w:rFonts w:eastAsia="黑体"/>
        </w:rPr>
        <w:tab/>
      </w:r>
      <w:r>
        <w:rPr>
          <w:rFonts w:eastAsia="黑体"/>
        </w:rPr>
        <w:t>3</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"_Toc26215" </w:instrText>
      </w:r>
      <w:r>
        <w:fldChar w:fldCharType="separate"/>
      </w:r>
      <w:r>
        <w:rPr>
          <w:rFonts w:eastAsia="黑体"/>
          <w:bCs/>
          <w:szCs w:val="21"/>
        </w:rPr>
        <w:t>三、 主要试验（或验证）情况分析</w:t>
      </w:r>
      <w:r>
        <w:rPr>
          <w:rFonts w:eastAsia="黑体"/>
        </w:rPr>
        <w:tab/>
      </w:r>
      <w:r>
        <w:rPr>
          <w:rFonts w:eastAsia="黑体"/>
        </w:rPr>
        <w:t>6</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"_Toc26214" </w:instrText>
      </w:r>
      <w:r>
        <w:fldChar w:fldCharType="separate"/>
      </w:r>
      <w:r>
        <w:rPr>
          <w:rFonts w:eastAsia="黑体"/>
          <w:bCs/>
          <w:szCs w:val="21"/>
        </w:rPr>
        <w:t>四、 标准中涉及专利的情况</w:t>
      </w:r>
      <w:r>
        <w:rPr>
          <w:rFonts w:eastAsia="黑体"/>
        </w:rPr>
        <w:tab/>
      </w:r>
      <w:r>
        <w:rPr>
          <w:rFonts w:eastAsia="黑体"/>
        </w:rPr>
        <w:t>6</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"_Toc13155" </w:instrText>
      </w:r>
      <w:r>
        <w:fldChar w:fldCharType="separate"/>
      </w:r>
      <w:r>
        <w:rPr>
          <w:rFonts w:eastAsia="黑体"/>
          <w:bCs/>
          <w:szCs w:val="21"/>
        </w:rPr>
        <w:t>五、 预期达到的社会效益等情况</w:t>
      </w:r>
      <w:r>
        <w:rPr>
          <w:rFonts w:eastAsia="黑体"/>
        </w:rPr>
        <w:tab/>
      </w:r>
      <w:r>
        <w:rPr>
          <w:rFonts w:eastAsia="黑体"/>
        </w:rPr>
        <w:t>6</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"_Toc26219" </w:instrText>
      </w:r>
      <w:r>
        <w:fldChar w:fldCharType="separate"/>
      </w:r>
      <w:r>
        <w:rPr>
          <w:rFonts w:eastAsia="黑体"/>
          <w:bCs/>
          <w:szCs w:val="21"/>
        </w:rPr>
        <w:t>六、 采用国际标准和国外先进标准的情况</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"_Toc24914" </w:instrText>
      </w:r>
      <w:r>
        <w:fldChar w:fldCharType="separate"/>
      </w:r>
      <w:r>
        <w:rPr>
          <w:rFonts w:eastAsia="黑体"/>
          <w:bCs/>
          <w:szCs w:val="21"/>
        </w:rPr>
        <w:t>七、 与现行相关法律、法规、规章及相关标准的协调性</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"_Toc28014" </w:instrText>
      </w:r>
      <w:r>
        <w:fldChar w:fldCharType="separate"/>
      </w:r>
      <w:r>
        <w:rPr>
          <w:rFonts w:eastAsia="黑体"/>
          <w:bCs/>
          <w:szCs w:val="21"/>
        </w:rPr>
        <w:t>八、 重大分歧意见的处理经过和依据</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"_Toc15508" </w:instrText>
      </w:r>
      <w:r>
        <w:fldChar w:fldCharType="separate"/>
      </w:r>
      <w:r>
        <w:rPr>
          <w:rFonts w:eastAsia="黑体"/>
          <w:bCs/>
          <w:szCs w:val="21"/>
        </w:rPr>
        <w:t>九、 标准性质的建议说明</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"_Toc30433" </w:instrText>
      </w:r>
      <w:r>
        <w:fldChar w:fldCharType="separate"/>
      </w:r>
      <w:r>
        <w:rPr>
          <w:rFonts w:eastAsia="黑体"/>
          <w:bCs/>
          <w:szCs w:val="21"/>
        </w:rPr>
        <w:t>十、 贯彻标准的要求和措施建议</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"_Toc2604" </w:instrText>
      </w:r>
      <w:r>
        <w:fldChar w:fldCharType="separate"/>
      </w:r>
      <w:r>
        <w:rPr>
          <w:rFonts w:eastAsia="黑体"/>
          <w:bCs/>
          <w:szCs w:val="21"/>
        </w:rPr>
        <w:t>十一、 废止现行相关标准的建议</w:t>
      </w:r>
      <w:r>
        <w:rPr>
          <w:rFonts w:eastAsia="黑体"/>
        </w:rPr>
        <w:tab/>
      </w:r>
      <w:r>
        <w:rPr>
          <w:rFonts w:eastAsia="黑体"/>
        </w:rPr>
        <w:t>7</w:t>
      </w:r>
      <w:r>
        <w:rPr>
          <w:rFonts w:eastAsia="黑体"/>
        </w:rPr>
        <w:fldChar w:fldCharType="end"/>
      </w:r>
    </w:p>
    <w:p>
      <w:pPr>
        <w:pStyle w:val="5"/>
        <w:tabs>
          <w:tab w:val="right" w:leader="dot" w:pos="8306"/>
        </w:tabs>
        <w:spacing w:line="400" w:lineRule="exact"/>
        <w:ind w:firstLine="420"/>
        <w:rPr>
          <w:rFonts w:eastAsia="黑体"/>
        </w:rPr>
      </w:pPr>
      <w:r>
        <w:fldChar w:fldCharType="begin"/>
      </w:r>
      <w:r>
        <w:instrText xml:space="preserve"> HYPERLINK \l "_Toc7527" </w:instrText>
      </w:r>
      <w:r>
        <w:fldChar w:fldCharType="separate"/>
      </w:r>
      <w:r>
        <w:rPr>
          <w:rFonts w:eastAsia="黑体"/>
          <w:bCs/>
          <w:szCs w:val="21"/>
        </w:rPr>
        <w:t>十二、 其他应予说明的事项</w:t>
      </w:r>
      <w:r>
        <w:rPr>
          <w:rFonts w:eastAsia="黑体"/>
        </w:rPr>
        <w:tab/>
      </w:r>
      <w:r>
        <w:rPr>
          <w:rFonts w:eastAsia="黑体"/>
        </w:rPr>
        <w:t>7</w:t>
      </w:r>
      <w:r>
        <w:rPr>
          <w:rFonts w:eastAsia="黑体"/>
        </w:rPr>
        <w:fldChar w:fldCharType="end"/>
      </w:r>
    </w:p>
    <w:p>
      <w:pPr>
        <w:autoSpaceDE w:val="0"/>
        <w:autoSpaceDN w:val="0"/>
        <w:adjustRightInd w:val="0"/>
        <w:spacing w:line="240" w:lineRule="auto"/>
        <w:ind w:firstLine="0" w:firstLineChars="0"/>
        <w:jc w:val="center"/>
        <w:outlineLvl w:val="0"/>
        <w:rPr>
          <w:rFonts w:eastAsia="黑体"/>
          <w:color w:val="000000"/>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757" w:header="851" w:footer="992" w:gutter="0"/>
          <w:cols w:space="0" w:num="1"/>
          <w:titlePg/>
          <w:docGrid w:type="lines" w:linePitch="312" w:charSpace="0"/>
        </w:sectPr>
      </w:pPr>
      <w:r>
        <w:fldChar w:fldCharType="end"/>
      </w:r>
      <w:bookmarkEnd w:id="12"/>
    </w:p>
    <w:p>
      <w:pPr>
        <w:autoSpaceDE w:val="0"/>
        <w:autoSpaceDN w:val="0"/>
        <w:adjustRightInd w:val="0"/>
        <w:spacing w:line="240" w:lineRule="auto"/>
        <w:ind w:firstLine="0" w:firstLineChars="0"/>
        <w:jc w:val="center"/>
        <w:outlineLvl w:val="0"/>
        <w:rPr>
          <w:rFonts w:eastAsia="黑体"/>
          <w:color w:val="000000"/>
          <w:kern w:val="0"/>
          <w:sz w:val="32"/>
          <w:szCs w:val="32"/>
        </w:rPr>
      </w:pPr>
      <w:r>
        <w:rPr>
          <w:rFonts w:eastAsia="黑体"/>
          <w:color w:val="000000"/>
          <w:kern w:val="0"/>
          <w:sz w:val="32"/>
          <w:szCs w:val="32"/>
        </w:rPr>
        <w:t>《电动摩托车和电动轻便摩托车用锂离子电池管理系统》</w:t>
      </w:r>
      <w:bookmarkEnd w:id="8"/>
      <w:bookmarkEnd w:id="9"/>
      <w:bookmarkEnd w:id="10"/>
      <w:bookmarkEnd w:id="11"/>
    </w:p>
    <w:p>
      <w:pPr>
        <w:autoSpaceDE w:val="0"/>
        <w:autoSpaceDN w:val="0"/>
        <w:adjustRightInd w:val="0"/>
        <w:spacing w:line="240" w:lineRule="auto"/>
        <w:ind w:firstLine="0" w:firstLineChars="0"/>
        <w:jc w:val="center"/>
        <w:outlineLvl w:val="0"/>
        <w:rPr>
          <w:rFonts w:eastAsia="黑体"/>
          <w:color w:val="000000"/>
          <w:kern w:val="0"/>
          <w:sz w:val="32"/>
          <w:szCs w:val="32"/>
        </w:rPr>
      </w:pPr>
      <w:bookmarkStart w:id="14" w:name="_Toc21854"/>
      <w:bookmarkStart w:id="15" w:name="_Toc36212236"/>
      <w:bookmarkStart w:id="16" w:name="_Toc14803"/>
      <w:bookmarkStart w:id="17" w:name="_Toc4815"/>
      <w:r>
        <w:rPr>
          <w:rFonts w:eastAsia="黑体"/>
          <w:color w:val="000000"/>
          <w:kern w:val="0"/>
          <w:sz w:val="32"/>
          <w:szCs w:val="32"/>
        </w:rPr>
        <w:t>（</w:t>
      </w:r>
      <w:r>
        <w:rPr>
          <w:rFonts w:hint="eastAsia" w:eastAsia="黑体"/>
          <w:color w:val="000000"/>
          <w:kern w:val="0"/>
          <w:sz w:val="32"/>
          <w:szCs w:val="32"/>
          <w:lang w:val="en-US" w:eastAsia="zh-CN"/>
        </w:rPr>
        <w:t>征求意见</w:t>
      </w:r>
      <w:r>
        <w:rPr>
          <w:rFonts w:hint="eastAsia" w:eastAsia="黑体"/>
          <w:color w:val="000000"/>
          <w:kern w:val="0"/>
          <w:sz w:val="32"/>
          <w:szCs w:val="32"/>
        </w:rPr>
        <w:t>稿</w:t>
      </w:r>
      <w:r>
        <w:rPr>
          <w:rFonts w:eastAsia="黑体"/>
          <w:color w:val="000000"/>
          <w:kern w:val="0"/>
          <w:sz w:val="32"/>
          <w:szCs w:val="32"/>
        </w:rPr>
        <w:t>）</w:t>
      </w:r>
      <w:bookmarkEnd w:id="14"/>
      <w:bookmarkEnd w:id="15"/>
      <w:bookmarkEnd w:id="16"/>
      <w:bookmarkEnd w:id="17"/>
    </w:p>
    <w:p>
      <w:pPr>
        <w:autoSpaceDE w:val="0"/>
        <w:autoSpaceDN w:val="0"/>
        <w:adjustRightInd w:val="0"/>
        <w:spacing w:line="240" w:lineRule="auto"/>
        <w:ind w:firstLine="0" w:firstLineChars="0"/>
        <w:jc w:val="center"/>
        <w:outlineLvl w:val="0"/>
        <w:rPr>
          <w:rFonts w:eastAsia="黑体"/>
          <w:color w:val="000000"/>
          <w:kern w:val="0"/>
          <w:sz w:val="32"/>
          <w:szCs w:val="32"/>
        </w:rPr>
      </w:pPr>
      <w:bookmarkStart w:id="18" w:name="_Toc8137"/>
      <w:bookmarkStart w:id="19" w:name="_Toc36212237"/>
      <w:bookmarkStart w:id="20" w:name="_Toc30226"/>
      <w:bookmarkStart w:id="21" w:name="_Toc31546"/>
      <w:r>
        <w:rPr>
          <w:rFonts w:eastAsia="黑体"/>
          <w:color w:val="000000"/>
          <w:kern w:val="0"/>
          <w:sz w:val="32"/>
          <w:szCs w:val="32"/>
        </w:rPr>
        <w:t>编制说明</w:t>
      </w:r>
      <w:bookmarkEnd w:id="18"/>
      <w:bookmarkEnd w:id="19"/>
      <w:bookmarkEnd w:id="20"/>
      <w:bookmarkEnd w:id="21"/>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22" w:name="_Toc36212238"/>
      <w:bookmarkStart w:id="23" w:name="_Toc7124"/>
      <w:bookmarkStart w:id="24" w:name="_Toc733"/>
      <w:bookmarkStart w:id="25" w:name="_Toc528"/>
      <w:bookmarkStart w:id="26" w:name="_Hlk64896381"/>
      <w:r>
        <w:rPr>
          <w:rFonts w:eastAsia="黑体"/>
          <w:bCs/>
          <w:color w:val="000000"/>
          <w:kern w:val="0"/>
          <w:sz w:val="24"/>
        </w:rPr>
        <w:t>工作简况</w:t>
      </w:r>
      <w:bookmarkEnd w:id="22"/>
      <w:bookmarkEnd w:id="23"/>
      <w:bookmarkEnd w:id="24"/>
      <w:bookmarkEnd w:id="25"/>
    </w:p>
    <w:p>
      <w:pPr>
        <w:spacing w:line="400" w:lineRule="exact"/>
        <w:ind w:firstLine="0" w:firstLineChars="0"/>
        <w:jc w:val="left"/>
        <w:rPr>
          <w:szCs w:val="21"/>
        </w:rPr>
      </w:pPr>
      <w:r>
        <w:rPr>
          <w:szCs w:val="21"/>
        </w:rPr>
        <w:t>1、任务来源</w:t>
      </w:r>
    </w:p>
    <w:p>
      <w:pPr>
        <w:spacing w:line="400" w:lineRule="exact"/>
        <w:ind w:firstLine="420"/>
        <w:jc w:val="left"/>
        <w:rPr>
          <w:szCs w:val="21"/>
        </w:rPr>
      </w:pPr>
      <w:r>
        <w:rPr>
          <w:szCs w:val="21"/>
        </w:rPr>
        <w:t>批文编号：</w:t>
      </w:r>
      <w:r>
        <w:rPr>
          <w:rFonts w:hint="eastAsia"/>
          <w:szCs w:val="21"/>
          <w:lang w:val="en-US" w:eastAsia="zh-CN"/>
        </w:rPr>
        <w:t>中摩商函</w:t>
      </w:r>
      <w:r>
        <w:rPr>
          <w:szCs w:val="21"/>
        </w:rPr>
        <w:t>【202</w:t>
      </w:r>
      <w:r>
        <w:rPr>
          <w:rFonts w:hint="eastAsia"/>
          <w:szCs w:val="21"/>
          <w:lang w:val="en-US" w:eastAsia="zh-CN"/>
        </w:rPr>
        <w:t>3</w:t>
      </w:r>
      <w:r>
        <w:rPr>
          <w:szCs w:val="21"/>
        </w:rPr>
        <w:t>】</w:t>
      </w:r>
      <w:r>
        <w:rPr>
          <w:rFonts w:hint="eastAsia"/>
          <w:szCs w:val="21"/>
          <w:lang w:val="en-US" w:eastAsia="zh-CN"/>
        </w:rPr>
        <w:t>78</w:t>
      </w:r>
      <w:r>
        <w:rPr>
          <w:szCs w:val="21"/>
        </w:rPr>
        <w:t>号</w:t>
      </w:r>
    </w:p>
    <w:p>
      <w:pPr>
        <w:spacing w:line="400" w:lineRule="exact"/>
        <w:ind w:firstLine="420"/>
        <w:jc w:val="left"/>
        <w:rPr>
          <w:rFonts w:hint="default" w:eastAsia="宋体"/>
          <w:szCs w:val="21"/>
          <w:lang w:val="en-US" w:eastAsia="zh-CN"/>
        </w:rPr>
      </w:pPr>
      <w:r>
        <w:rPr>
          <w:szCs w:val="21"/>
        </w:rPr>
        <w:t>项目计划号：202</w:t>
      </w:r>
      <w:r>
        <w:rPr>
          <w:rFonts w:hint="eastAsia"/>
          <w:szCs w:val="21"/>
          <w:lang w:val="en-US" w:eastAsia="zh-CN"/>
        </w:rPr>
        <w:t>3-7</w:t>
      </w:r>
    </w:p>
    <w:p>
      <w:pPr>
        <w:spacing w:line="400" w:lineRule="exact"/>
        <w:ind w:firstLine="420"/>
        <w:jc w:val="left"/>
        <w:rPr>
          <w:szCs w:val="21"/>
        </w:rPr>
      </w:pPr>
      <w:r>
        <w:rPr>
          <w:szCs w:val="21"/>
        </w:rPr>
        <w:t>计划名称：</w:t>
      </w:r>
      <w:r>
        <w:t>电动摩托车和电动轻便摩托车用锂离子电池管理系统</w:t>
      </w:r>
    </w:p>
    <w:p>
      <w:pPr>
        <w:spacing w:line="400" w:lineRule="exact"/>
        <w:ind w:firstLine="420"/>
        <w:jc w:val="left"/>
        <w:rPr>
          <w:szCs w:val="21"/>
        </w:rPr>
      </w:pPr>
      <w:r>
        <w:rPr>
          <w:szCs w:val="21"/>
        </w:rPr>
        <w:t>标准性质：</w:t>
      </w:r>
      <w:r>
        <w:rPr>
          <w:rFonts w:hint="eastAsia"/>
          <w:szCs w:val="21"/>
          <w:lang w:val="en-US" w:eastAsia="zh-CN"/>
        </w:rPr>
        <w:t>团体</w:t>
      </w:r>
      <w:r>
        <w:rPr>
          <w:szCs w:val="21"/>
        </w:rPr>
        <w:t>标准</w:t>
      </w:r>
    </w:p>
    <w:p>
      <w:pPr>
        <w:spacing w:line="400" w:lineRule="exact"/>
        <w:ind w:firstLine="420"/>
        <w:jc w:val="left"/>
        <w:rPr>
          <w:szCs w:val="21"/>
        </w:rPr>
      </w:pPr>
      <w:r>
        <w:rPr>
          <w:szCs w:val="21"/>
        </w:rPr>
        <w:t>计划起草单位：招商局检测车辆技术研究院有限公司</w:t>
      </w:r>
    </w:p>
    <w:p>
      <w:pPr>
        <w:spacing w:line="400" w:lineRule="exact"/>
        <w:ind w:firstLine="420"/>
        <w:jc w:val="left"/>
        <w:rPr>
          <w:szCs w:val="21"/>
        </w:rPr>
      </w:pPr>
      <w:r>
        <w:rPr>
          <w:szCs w:val="21"/>
        </w:rPr>
        <w:t xml:space="preserve">项目周期：12个月   </w:t>
      </w:r>
    </w:p>
    <w:p>
      <w:pPr>
        <w:spacing w:line="400" w:lineRule="exact"/>
        <w:ind w:firstLine="0" w:firstLineChars="0"/>
        <w:jc w:val="left"/>
        <w:rPr>
          <w:szCs w:val="21"/>
        </w:rPr>
      </w:pPr>
      <w:r>
        <w:rPr>
          <w:szCs w:val="21"/>
        </w:rPr>
        <w:t>2</w:t>
      </w:r>
      <w:r>
        <w:rPr>
          <w:rFonts w:hint="eastAsia"/>
          <w:szCs w:val="21"/>
        </w:rPr>
        <w:t>、标准编制组成员及工作内容</w:t>
      </w:r>
    </w:p>
    <w:p>
      <w:pPr>
        <w:spacing w:line="400" w:lineRule="exact"/>
        <w:ind w:firstLine="420"/>
        <w:rPr>
          <w:rFonts w:hint="eastAsia"/>
          <w:szCs w:val="21"/>
        </w:rPr>
      </w:pPr>
      <w:r>
        <w:rPr>
          <w:szCs w:val="21"/>
          <w:highlight w:val="none"/>
        </w:rPr>
        <w:t>自202</w:t>
      </w:r>
      <w:r>
        <w:rPr>
          <w:rFonts w:hint="eastAsia"/>
          <w:szCs w:val="21"/>
          <w:highlight w:val="none"/>
          <w:lang w:val="en-US" w:eastAsia="zh-CN"/>
        </w:rPr>
        <w:t>3</w:t>
      </w:r>
      <w:r>
        <w:rPr>
          <w:szCs w:val="21"/>
          <w:highlight w:val="none"/>
        </w:rPr>
        <w:t>年</w:t>
      </w:r>
      <w:r>
        <w:rPr>
          <w:rFonts w:hint="eastAsia"/>
          <w:szCs w:val="21"/>
          <w:highlight w:val="none"/>
          <w:lang w:val="en-US" w:eastAsia="zh-CN"/>
        </w:rPr>
        <w:t>9</w:t>
      </w:r>
      <w:r>
        <w:rPr>
          <w:szCs w:val="21"/>
          <w:highlight w:val="none"/>
        </w:rPr>
        <w:t>月</w:t>
      </w:r>
      <w:r>
        <w:rPr>
          <w:rFonts w:hint="eastAsia"/>
          <w:szCs w:val="21"/>
          <w:highlight w:val="none"/>
          <w:lang w:val="en-US" w:eastAsia="zh-CN"/>
        </w:rPr>
        <w:t>5</w:t>
      </w:r>
      <w:r>
        <w:rPr>
          <w:szCs w:val="21"/>
          <w:highlight w:val="none"/>
        </w:rPr>
        <w:t>日，</w:t>
      </w:r>
      <w:r>
        <w:rPr>
          <w:rFonts w:hint="eastAsia"/>
          <w:szCs w:val="21"/>
          <w:highlight w:val="none"/>
          <w:lang w:val="en-US" w:eastAsia="zh-CN"/>
        </w:rPr>
        <w:t>中国摩托车商会2023年第一批团体标准制修订</w:t>
      </w:r>
      <w:r>
        <w:rPr>
          <w:szCs w:val="21"/>
          <w:highlight w:val="none"/>
        </w:rPr>
        <w:t>修订任务正式下达以来，招商局检测车辆技术研究院有限公司牵头</w:t>
      </w:r>
      <w:r>
        <w:rPr>
          <w:rFonts w:hint="eastAsia"/>
          <w:szCs w:val="21"/>
          <w:highlight w:val="none"/>
        </w:rPr>
        <w:t>，</w:t>
      </w:r>
      <w:r>
        <w:rPr>
          <w:szCs w:val="21"/>
          <w:highlight w:val="none"/>
        </w:rPr>
        <w:t>与</w:t>
      </w:r>
      <w:r>
        <w:rPr>
          <w:rFonts w:hint="eastAsia"/>
          <w:szCs w:val="21"/>
          <w:highlight w:val="none"/>
          <w:lang w:val="en-US" w:eastAsia="zh-CN"/>
        </w:rPr>
        <w:t>雅迪科技有限公司、爱玛车业科技有限公司、江苏新日电动车股份有限公司、</w:t>
      </w:r>
      <w:r>
        <w:rPr>
          <w:rFonts w:hint="default"/>
          <w:szCs w:val="21"/>
          <w:highlight w:val="none"/>
          <w:lang w:val="en-US" w:eastAsia="zh-CN"/>
        </w:rPr>
        <w:t>浙江春风动力股份有限公司</w:t>
      </w:r>
      <w:r>
        <w:rPr>
          <w:rFonts w:hint="eastAsia"/>
          <w:szCs w:val="21"/>
          <w:highlight w:val="none"/>
          <w:lang w:val="en-US" w:eastAsia="zh-CN"/>
        </w:rPr>
        <w:t>、力帆科技（集团）股份有限公司</w:t>
      </w:r>
      <w:r>
        <w:rPr>
          <w:rFonts w:hint="eastAsia"/>
          <w:szCs w:val="21"/>
          <w:highlight w:val="none"/>
        </w:rPr>
        <w:t>等</w:t>
      </w:r>
      <w:r>
        <w:rPr>
          <w:rFonts w:hint="eastAsia"/>
          <w:szCs w:val="21"/>
          <w:highlight w:val="none"/>
          <w:lang w:val="en-US" w:eastAsia="zh-CN"/>
        </w:rPr>
        <w:t>行业内头部</w:t>
      </w:r>
      <w:r>
        <w:rPr>
          <w:rFonts w:hint="eastAsia"/>
          <w:szCs w:val="21"/>
          <w:highlight w:val="none"/>
        </w:rPr>
        <w:t>生产</w:t>
      </w:r>
      <w:r>
        <w:rPr>
          <w:szCs w:val="21"/>
          <w:highlight w:val="none"/>
        </w:rPr>
        <w:t>企业</w:t>
      </w:r>
      <w:r>
        <w:rPr>
          <w:rFonts w:hint="eastAsia"/>
          <w:szCs w:val="21"/>
          <w:highlight w:val="none"/>
        </w:rPr>
        <w:t>联动</w:t>
      </w:r>
      <w:r>
        <w:rPr>
          <w:szCs w:val="21"/>
          <w:highlight w:val="none"/>
        </w:rPr>
        <w:t>组成标准编制组</w:t>
      </w:r>
      <w:r>
        <w:rPr>
          <w:rFonts w:hint="eastAsia"/>
          <w:szCs w:val="21"/>
          <w:highlight w:val="none"/>
        </w:rPr>
        <w:t>。本标</w:t>
      </w:r>
      <w:r>
        <w:rPr>
          <w:rFonts w:hint="eastAsia"/>
          <w:szCs w:val="21"/>
        </w:rPr>
        <w:t>准由编制组全体成员单位共同起草。</w:t>
      </w:r>
    </w:p>
    <w:p>
      <w:pPr>
        <w:spacing w:line="400" w:lineRule="exact"/>
        <w:ind w:firstLine="420"/>
        <w:rPr>
          <w:rFonts w:hint="eastAsia"/>
          <w:szCs w:val="21"/>
        </w:rPr>
      </w:pPr>
      <w:r>
        <w:rPr>
          <w:szCs w:val="21"/>
        </w:rPr>
        <w:t>招商局检测车辆技术研究院有限公司</w:t>
      </w:r>
      <w:r>
        <w:rPr>
          <w:rFonts w:hint="eastAsia"/>
          <w:szCs w:val="21"/>
          <w:lang w:val="en-US" w:eastAsia="zh-CN"/>
        </w:rPr>
        <w:t>与各参编单位通过</w:t>
      </w:r>
      <w:r>
        <w:rPr>
          <w:rFonts w:hint="eastAsia"/>
          <w:szCs w:val="21"/>
        </w:rPr>
        <w:t>开展国内外相关法规标准对比分析、试验方法设计、数据汇总分析、性能指标设置</w:t>
      </w:r>
      <w:r>
        <w:rPr>
          <w:rFonts w:hint="eastAsia"/>
          <w:szCs w:val="21"/>
          <w:lang w:val="en-US" w:eastAsia="zh-CN"/>
        </w:rPr>
        <w:t>等形成标准送审稿。由于目前尚无</w:t>
      </w:r>
      <w:r>
        <w:rPr>
          <w:szCs w:val="21"/>
        </w:rPr>
        <w:t>电动摩托车和电动轻便摩托车用锂离子电池管理系统</w:t>
      </w:r>
      <w:r>
        <w:rPr>
          <w:rFonts w:hint="eastAsia"/>
          <w:szCs w:val="21"/>
          <w:lang w:val="en-US" w:eastAsia="zh-CN"/>
        </w:rPr>
        <w:t>相关标准，</w:t>
      </w:r>
      <w:r>
        <w:rPr>
          <w:rFonts w:hint="eastAsia"/>
          <w:szCs w:val="21"/>
        </w:rPr>
        <w:t>编制组</w:t>
      </w:r>
      <w:r>
        <w:rPr>
          <w:rFonts w:hint="eastAsia"/>
          <w:szCs w:val="21"/>
          <w:lang w:val="en-US" w:eastAsia="zh-CN"/>
        </w:rPr>
        <w:t>通过</w:t>
      </w:r>
      <w:r>
        <w:rPr>
          <w:szCs w:val="21"/>
        </w:rPr>
        <w:t>收集国内外电动摩托车和电动轻便摩托车用锂离子电池</w:t>
      </w:r>
      <w:r>
        <w:rPr>
          <w:rFonts w:hint="eastAsia"/>
          <w:szCs w:val="21"/>
          <w:lang w:eastAsia="zh-CN"/>
        </w:rPr>
        <w:t>、</w:t>
      </w:r>
      <w:r>
        <w:rPr>
          <w:rFonts w:hint="eastAsia"/>
          <w:szCs w:val="21"/>
          <w:lang w:val="en-US" w:eastAsia="zh-CN"/>
        </w:rPr>
        <w:t>电动客车用电池</w:t>
      </w:r>
      <w:r>
        <w:rPr>
          <w:szCs w:val="21"/>
        </w:rPr>
        <w:t>管理系统</w:t>
      </w:r>
      <w:r>
        <w:rPr>
          <w:rFonts w:hint="eastAsia"/>
          <w:szCs w:val="21"/>
          <w:lang w:eastAsia="zh-CN"/>
        </w:rPr>
        <w:t>、</w:t>
      </w:r>
      <w:r>
        <w:rPr>
          <w:rFonts w:hint="eastAsia"/>
          <w:szCs w:val="21"/>
          <w:lang w:val="en-US" w:eastAsia="zh-CN"/>
        </w:rPr>
        <w:t>电动自行车用电池管理系统等</w:t>
      </w:r>
      <w:r>
        <w:rPr>
          <w:rFonts w:hint="eastAsia"/>
          <w:szCs w:val="21"/>
        </w:rPr>
        <w:t>相关</w:t>
      </w:r>
      <w:r>
        <w:rPr>
          <w:szCs w:val="21"/>
        </w:rPr>
        <w:t>法规</w:t>
      </w:r>
      <w:r>
        <w:rPr>
          <w:rFonts w:hint="eastAsia"/>
          <w:szCs w:val="21"/>
        </w:rPr>
        <w:t>与标准</w:t>
      </w:r>
      <w:r>
        <w:rPr>
          <w:szCs w:val="21"/>
        </w:rPr>
        <w:t>，</w:t>
      </w:r>
      <w:r>
        <w:rPr>
          <w:rFonts w:hint="eastAsia"/>
          <w:szCs w:val="21"/>
        </w:rPr>
        <w:t>分析国内外相关标准的技术内容，对可行性、适用性开展了研讨。调研了国内</w:t>
      </w:r>
      <w:r>
        <w:rPr>
          <w:szCs w:val="21"/>
        </w:rPr>
        <w:t>电动摩托车和电动轻便摩托车</w:t>
      </w:r>
      <w:r>
        <w:rPr>
          <w:rFonts w:hint="eastAsia"/>
          <w:szCs w:val="21"/>
          <w:lang w:val="en-US" w:eastAsia="zh-CN"/>
        </w:rPr>
        <w:t>及其电池管理系统</w:t>
      </w:r>
      <w:r>
        <w:rPr>
          <w:rFonts w:hint="eastAsia"/>
          <w:szCs w:val="21"/>
        </w:rPr>
        <w:t>主流企业，全面了解</w:t>
      </w:r>
      <w:r>
        <w:rPr>
          <w:szCs w:val="21"/>
        </w:rPr>
        <w:t>电动摩托车和电动轻便摩托车</w:t>
      </w:r>
      <w:r>
        <w:rPr>
          <w:rFonts w:hint="eastAsia"/>
          <w:szCs w:val="21"/>
          <w:lang w:val="en-US" w:eastAsia="zh-CN"/>
        </w:rPr>
        <w:t>用电池管理系统</w:t>
      </w:r>
      <w:r>
        <w:rPr>
          <w:rFonts w:hint="eastAsia"/>
          <w:szCs w:val="21"/>
        </w:rPr>
        <w:t>产品的现状与趋势及技术发展方向，并收集</w:t>
      </w:r>
      <w:r>
        <w:rPr>
          <w:szCs w:val="21"/>
        </w:rPr>
        <w:t>整理了企业现行试验方法与实验数据</w:t>
      </w:r>
      <w:r>
        <w:rPr>
          <w:rFonts w:hint="eastAsia"/>
          <w:szCs w:val="21"/>
        </w:rPr>
        <w:t>。基于调研内容</w:t>
      </w:r>
      <w:r>
        <w:rPr>
          <w:rFonts w:hint="eastAsia"/>
          <w:szCs w:val="21"/>
          <w:lang w:val="en-US" w:eastAsia="zh-CN"/>
        </w:rPr>
        <w:t>及相关法规标准对比</w:t>
      </w:r>
      <w:r>
        <w:rPr>
          <w:rFonts w:hint="eastAsia"/>
          <w:szCs w:val="21"/>
        </w:rPr>
        <w:t>，编制组</w:t>
      </w:r>
      <w:r>
        <w:rPr>
          <w:rFonts w:hint="eastAsia"/>
          <w:szCs w:val="21"/>
          <w:lang w:val="en-US" w:eastAsia="zh-CN"/>
        </w:rPr>
        <w:t>分析讨论了</w:t>
      </w:r>
      <w:r>
        <w:rPr>
          <w:rFonts w:hint="eastAsia"/>
          <w:szCs w:val="21"/>
        </w:rPr>
        <w:t>试验方法设计、数据汇总分析、性能指标设置，并对相关试验性能要求参数的合理性</w:t>
      </w:r>
      <w:r>
        <w:rPr>
          <w:szCs w:val="21"/>
        </w:rPr>
        <w:t>进行</w:t>
      </w:r>
      <w:r>
        <w:rPr>
          <w:rFonts w:hint="eastAsia"/>
          <w:szCs w:val="21"/>
        </w:rPr>
        <w:t>了</w:t>
      </w:r>
      <w:r>
        <w:rPr>
          <w:szCs w:val="21"/>
        </w:rPr>
        <w:t>讨论</w:t>
      </w:r>
      <w:r>
        <w:rPr>
          <w:rFonts w:hint="eastAsia"/>
          <w:szCs w:val="21"/>
        </w:rPr>
        <w:t>。</w:t>
      </w:r>
    </w:p>
    <w:p>
      <w:pPr>
        <w:spacing w:line="400" w:lineRule="exact"/>
        <w:ind w:firstLine="420"/>
        <w:rPr>
          <w:rFonts w:hint="eastAsia" w:eastAsia="宋体"/>
          <w:szCs w:val="21"/>
          <w:lang w:val="en-US" w:eastAsia="zh-CN"/>
        </w:rPr>
      </w:pPr>
      <w:r>
        <w:rPr>
          <w:rFonts w:hint="default"/>
          <w:szCs w:val="21"/>
        </w:rPr>
        <w:t>2023年</w:t>
      </w:r>
      <w:r>
        <w:rPr>
          <w:rFonts w:hint="eastAsia"/>
          <w:szCs w:val="21"/>
          <w:lang w:val="en-US" w:eastAsia="zh-CN"/>
        </w:rPr>
        <w:t>6</w:t>
      </w:r>
      <w:r>
        <w:rPr>
          <w:rFonts w:hint="default"/>
          <w:szCs w:val="21"/>
        </w:rPr>
        <w:t>月-</w:t>
      </w:r>
      <w:r>
        <w:rPr>
          <w:rFonts w:hint="eastAsia"/>
          <w:szCs w:val="21"/>
          <w:lang w:val="en-US" w:eastAsia="zh-CN"/>
        </w:rPr>
        <w:t>7</w:t>
      </w:r>
      <w:r>
        <w:rPr>
          <w:rFonts w:hint="default"/>
          <w:szCs w:val="21"/>
        </w:rPr>
        <w:t>月，完成标准项目调研、立项</w:t>
      </w:r>
      <w:r>
        <w:rPr>
          <w:rFonts w:hint="eastAsia"/>
          <w:szCs w:val="21"/>
          <w:lang w:val="en-US" w:eastAsia="zh-CN"/>
        </w:rPr>
        <w:t>申请。</w:t>
      </w:r>
    </w:p>
    <w:p>
      <w:pPr>
        <w:spacing w:line="400" w:lineRule="exact"/>
        <w:ind w:firstLine="420"/>
        <w:jc w:val="left"/>
        <w:rPr>
          <w:rFonts w:hint="eastAsia"/>
          <w:szCs w:val="21"/>
          <w:lang w:eastAsia="zh-CN"/>
        </w:rPr>
      </w:pPr>
      <w:r>
        <w:rPr>
          <w:rFonts w:hint="default"/>
          <w:szCs w:val="21"/>
        </w:rPr>
        <w:t>2023年</w:t>
      </w:r>
      <w:r>
        <w:rPr>
          <w:rFonts w:hint="eastAsia"/>
          <w:szCs w:val="21"/>
          <w:lang w:val="en-US" w:eastAsia="zh-CN"/>
        </w:rPr>
        <w:t>8</w:t>
      </w:r>
      <w:r>
        <w:rPr>
          <w:rFonts w:hint="default"/>
          <w:szCs w:val="21"/>
        </w:rPr>
        <w:t>月</w:t>
      </w:r>
      <w:r>
        <w:rPr>
          <w:rFonts w:hint="eastAsia"/>
          <w:szCs w:val="21"/>
          <w:lang w:eastAsia="zh-CN"/>
        </w:rPr>
        <w:t>，</w:t>
      </w:r>
      <w:r>
        <w:rPr>
          <w:rFonts w:hint="eastAsia"/>
          <w:szCs w:val="21"/>
          <w:lang w:val="en-US" w:eastAsia="zh-CN"/>
        </w:rPr>
        <w:t>牵头单位</w:t>
      </w:r>
      <w:r>
        <w:rPr>
          <w:szCs w:val="21"/>
        </w:rPr>
        <w:t>召</w:t>
      </w:r>
      <w:r>
        <w:rPr>
          <w:rFonts w:hint="eastAsia"/>
          <w:szCs w:val="21"/>
        </w:rPr>
        <w:t>开</w:t>
      </w:r>
      <w:r>
        <w:rPr>
          <w:szCs w:val="21"/>
        </w:rPr>
        <w:t>了</w:t>
      </w:r>
      <w:r>
        <w:rPr>
          <w:rFonts w:hint="eastAsia"/>
          <w:szCs w:val="21"/>
        </w:rPr>
        <w:t>内部</w:t>
      </w:r>
      <w:r>
        <w:rPr>
          <w:szCs w:val="21"/>
        </w:rPr>
        <w:t>研讨会，就</w:t>
      </w:r>
      <w:r>
        <w:rPr>
          <w:rFonts w:hint="eastAsia"/>
          <w:szCs w:val="21"/>
        </w:rPr>
        <w:t>标准</w:t>
      </w:r>
      <w:r>
        <w:rPr>
          <w:rFonts w:hint="eastAsia"/>
          <w:szCs w:val="21"/>
          <w:lang w:val="en-US" w:eastAsia="zh-CN"/>
        </w:rPr>
        <w:t>编制</w:t>
      </w:r>
      <w:r>
        <w:rPr>
          <w:szCs w:val="21"/>
        </w:rPr>
        <w:t>方案进行</w:t>
      </w:r>
      <w:r>
        <w:rPr>
          <w:rFonts w:hint="eastAsia"/>
          <w:szCs w:val="21"/>
        </w:rPr>
        <w:t>了初步</w:t>
      </w:r>
      <w:r>
        <w:rPr>
          <w:szCs w:val="21"/>
        </w:rPr>
        <w:t>讨论，</w:t>
      </w:r>
      <w:r>
        <w:rPr>
          <w:rFonts w:hint="eastAsia"/>
          <w:szCs w:val="21"/>
        </w:rPr>
        <w:t>基本</w:t>
      </w:r>
      <w:r>
        <w:rPr>
          <w:szCs w:val="21"/>
        </w:rPr>
        <w:t>确定</w:t>
      </w:r>
      <w:r>
        <w:rPr>
          <w:rFonts w:hint="eastAsia"/>
          <w:szCs w:val="21"/>
        </w:rPr>
        <w:t>了</w:t>
      </w:r>
      <w:r>
        <w:rPr>
          <w:szCs w:val="21"/>
        </w:rPr>
        <w:t>标准框架内容。</w:t>
      </w:r>
    </w:p>
    <w:p>
      <w:pPr>
        <w:spacing w:line="400" w:lineRule="exact"/>
        <w:ind w:firstLine="420"/>
        <w:rPr>
          <w:rFonts w:hint="default"/>
          <w:szCs w:val="21"/>
        </w:rPr>
      </w:pPr>
      <w:r>
        <w:rPr>
          <w:rFonts w:hint="default"/>
          <w:szCs w:val="21"/>
        </w:rPr>
        <w:t>2023年</w:t>
      </w:r>
      <w:r>
        <w:rPr>
          <w:rFonts w:hint="eastAsia"/>
          <w:szCs w:val="21"/>
          <w:lang w:val="en-US" w:eastAsia="zh-CN"/>
        </w:rPr>
        <w:t>8</w:t>
      </w:r>
      <w:r>
        <w:rPr>
          <w:rFonts w:hint="default"/>
          <w:szCs w:val="21"/>
        </w:rPr>
        <w:t>月-</w:t>
      </w:r>
      <w:r>
        <w:rPr>
          <w:rFonts w:hint="eastAsia"/>
          <w:szCs w:val="21"/>
          <w:lang w:val="en-US" w:eastAsia="zh-CN"/>
        </w:rPr>
        <w:t>9</w:t>
      </w:r>
      <w:r>
        <w:rPr>
          <w:rFonts w:hint="default"/>
          <w:szCs w:val="21"/>
        </w:rPr>
        <w:t>月</w:t>
      </w:r>
      <w:r>
        <w:rPr>
          <w:rFonts w:hint="eastAsia"/>
          <w:szCs w:val="21"/>
          <w:lang w:eastAsia="zh-CN"/>
        </w:rPr>
        <w:t>，</w:t>
      </w:r>
      <w:r>
        <w:rPr>
          <w:rFonts w:hint="default"/>
          <w:szCs w:val="21"/>
        </w:rPr>
        <w:t>标准制定计划下达后，组建包含外单位的标准制定工作组，</w:t>
      </w:r>
      <w:r>
        <w:rPr>
          <w:rFonts w:hint="eastAsia"/>
          <w:szCs w:val="21"/>
          <w:lang w:val="en-US" w:eastAsia="zh-CN"/>
        </w:rPr>
        <w:t>并在</w:t>
      </w:r>
      <w:r>
        <w:rPr>
          <w:rFonts w:hint="eastAsia"/>
          <w:szCs w:val="21"/>
        </w:rPr>
        <w:t>重庆</w:t>
      </w:r>
      <w:r>
        <w:rPr>
          <w:szCs w:val="21"/>
        </w:rPr>
        <w:t>组织</w:t>
      </w:r>
      <w:r>
        <w:rPr>
          <w:rFonts w:hint="eastAsia"/>
          <w:szCs w:val="21"/>
          <w:lang w:val="en-US" w:eastAsia="zh-CN"/>
        </w:rPr>
        <w:t>召开了相</w:t>
      </w:r>
      <w:r>
        <w:rPr>
          <w:rFonts w:hint="eastAsia"/>
          <w:szCs w:val="21"/>
        </w:rPr>
        <w:t>关企业</w:t>
      </w:r>
      <w:r>
        <w:rPr>
          <w:szCs w:val="21"/>
        </w:rPr>
        <w:t>研讨会，编制组向参会代表介绍了国内外相关标准情况，以及本标准</w:t>
      </w:r>
      <w:r>
        <w:rPr>
          <w:rFonts w:hint="eastAsia"/>
          <w:szCs w:val="21"/>
          <w:lang w:val="en-US" w:eastAsia="zh-CN"/>
        </w:rPr>
        <w:t>编制的背景意义和主要</w:t>
      </w:r>
      <w:r>
        <w:rPr>
          <w:szCs w:val="21"/>
        </w:rPr>
        <w:t>内容，并听取行业意见</w:t>
      </w:r>
      <w:r>
        <w:rPr>
          <w:rFonts w:hint="default"/>
          <w:szCs w:val="21"/>
        </w:rPr>
        <w:t>，形成工作组草案。</w:t>
      </w:r>
    </w:p>
    <w:p>
      <w:pPr>
        <w:spacing w:line="400" w:lineRule="exact"/>
        <w:ind w:firstLine="420"/>
        <w:rPr>
          <w:rFonts w:hint="default" w:eastAsia="宋体"/>
          <w:szCs w:val="21"/>
          <w:lang w:val="en-US" w:eastAsia="zh-CN"/>
        </w:rPr>
      </w:pPr>
      <w:r>
        <w:rPr>
          <w:rFonts w:hint="default"/>
          <w:szCs w:val="21"/>
        </w:rPr>
        <w:t>202</w:t>
      </w:r>
      <w:r>
        <w:rPr>
          <w:rFonts w:hint="eastAsia"/>
          <w:szCs w:val="21"/>
          <w:lang w:val="en-US" w:eastAsia="zh-CN"/>
        </w:rPr>
        <w:t>4</w:t>
      </w:r>
      <w:r>
        <w:rPr>
          <w:rFonts w:hint="default"/>
          <w:szCs w:val="21"/>
        </w:rPr>
        <w:t>年</w:t>
      </w:r>
      <w:r>
        <w:rPr>
          <w:rFonts w:hint="eastAsia"/>
          <w:szCs w:val="21"/>
          <w:lang w:val="en-US" w:eastAsia="zh-CN"/>
        </w:rPr>
        <w:t>10</w:t>
      </w:r>
      <w:r>
        <w:rPr>
          <w:rFonts w:hint="default"/>
          <w:szCs w:val="21"/>
        </w:rPr>
        <w:t>-</w:t>
      </w:r>
      <w:r>
        <w:rPr>
          <w:rFonts w:hint="eastAsia"/>
          <w:szCs w:val="21"/>
          <w:lang w:val="en-US" w:eastAsia="zh-CN"/>
        </w:rPr>
        <w:t>12</w:t>
      </w:r>
      <w:r>
        <w:rPr>
          <w:rFonts w:hint="default"/>
          <w:szCs w:val="21"/>
        </w:rPr>
        <w:t>月，工作组</w:t>
      </w:r>
      <w:r>
        <w:rPr>
          <w:rFonts w:hint="eastAsia"/>
          <w:szCs w:val="21"/>
          <w:lang w:val="en-US" w:eastAsia="zh-CN"/>
        </w:rPr>
        <w:t>结合</w:t>
      </w:r>
      <w:r>
        <w:rPr>
          <w:rFonts w:hint="default"/>
          <w:szCs w:val="21"/>
        </w:rPr>
        <w:t>线上线上方式组织会议讨论和专家咨询，并对</w:t>
      </w:r>
      <w:r>
        <w:rPr>
          <w:rFonts w:hint="eastAsia"/>
          <w:szCs w:val="21"/>
          <w:lang w:val="en-US" w:eastAsia="zh-CN"/>
        </w:rPr>
        <w:t>草案进行修改。</w:t>
      </w:r>
    </w:p>
    <w:p>
      <w:pPr>
        <w:spacing w:line="400" w:lineRule="exact"/>
        <w:ind w:firstLine="420"/>
        <w:rPr>
          <w:rFonts w:hint="eastAsia" w:eastAsia="宋体"/>
          <w:szCs w:val="21"/>
          <w:lang w:eastAsia="zh-CN"/>
        </w:rPr>
      </w:pPr>
      <w:r>
        <w:rPr>
          <w:rFonts w:hint="default"/>
          <w:szCs w:val="21"/>
        </w:rPr>
        <w:t>202</w:t>
      </w:r>
      <w:r>
        <w:rPr>
          <w:rFonts w:hint="eastAsia"/>
          <w:szCs w:val="21"/>
          <w:lang w:val="en-US" w:eastAsia="zh-CN"/>
        </w:rPr>
        <w:t>4</w:t>
      </w:r>
      <w:r>
        <w:rPr>
          <w:rFonts w:hint="default"/>
          <w:szCs w:val="21"/>
        </w:rPr>
        <w:t>年</w:t>
      </w:r>
      <w:r>
        <w:rPr>
          <w:rFonts w:hint="eastAsia"/>
          <w:szCs w:val="21"/>
          <w:lang w:val="en-US" w:eastAsia="zh-CN"/>
        </w:rPr>
        <w:t>1</w:t>
      </w:r>
      <w:r>
        <w:rPr>
          <w:rFonts w:hint="default"/>
          <w:szCs w:val="21"/>
        </w:rPr>
        <w:t>-</w:t>
      </w:r>
      <w:r>
        <w:rPr>
          <w:rFonts w:hint="eastAsia"/>
          <w:szCs w:val="21"/>
          <w:lang w:val="en-US" w:eastAsia="zh-CN"/>
        </w:rPr>
        <w:t>2</w:t>
      </w:r>
      <w:r>
        <w:rPr>
          <w:rFonts w:hint="default"/>
          <w:szCs w:val="21"/>
        </w:rPr>
        <w:t>月</w:t>
      </w:r>
      <w:r>
        <w:rPr>
          <w:rFonts w:hint="eastAsia"/>
          <w:szCs w:val="21"/>
          <w:lang w:eastAsia="zh-CN"/>
        </w:rPr>
        <w:t>，</w:t>
      </w:r>
      <w:r>
        <w:rPr>
          <w:rFonts w:hint="eastAsia" w:ascii="宋体" w:hAnsi="宋体"/>
          <w:kern w:val="0"/>
          <w:sz w:val="21"/>
          <w:szCs w:val="21"/>
        </w:rPr>
        <w:t>工作组根据各方意见对标准</w:t>
      </w:r>
      <w:r>
        <w:rPr>
          <w:rFonts w:hint="eastAsia" w:ascii="宋体" w:hAnsi="宋体"/>
          <w:kern w:val="0"/>
          <w:sz w:val="21"/>
          <w:szCs w:val="21"/>
          <w:lang w:val="en-US" w:eastAsia="zh-CN"/>
        </w:rPr>
        <w:t>草案</w:t>
      </w:r>
      <w:r>
        <w:rPr>
          <w:rFonts w:hint="eastAsia" w:ascii="宋体" w:hAnsi="宋体"/>
          <w:kern w:val="0"/>
          <w:sz w:val="21"/>
          <w:szCs w:val="21"/>
        </w:rPr>
        <w:t>进行</w:t>
      </w:r>
      <w:r>
        <w:rPr>
          <w:rFonts w:hint="eastAsia" w:ascii="宋体" w:hAnsi="宋体"/>
          <w:kern w:val="0"/>
          <w:sz w:val="21"/>
          <w:szCs w:val="21"/>
          <w:lang w:val="en-US" w:eastAsia="zh-CN"/>
        </w:rPr>
        <w:t>完善，</w:t>
      </w:r>
      <w:r>
        <w:rPr>
          <w:rFonts w:hint="default"/>
          <w:szCs w:val="21"/>
        </w:rPr>
        <w:t>完成征求意见稿及编制说明，提交标委会审查</w:t>
      </w:r>
      <w:r>
        <w:rPr>
          <w:rFonts w:hint="eastAsia"/>
          <w:szCs w:val="21"/>
          <w:lang w:eastAsia="zh-CN"/>
        </w:rPr>
        <w:t>。</w:t>
      </w:r>
    </w:p>
    <w:p>
      <w:pPr>
        <w:pStyle w:val="17"/>
        <w:spacing w:line="400" w:lineRule="exact"/>
        <w:rPr>
          <w:szCs w:val="21"/>
        </w:rPr>
      </w:pP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27" w:name="_Toc9210"/>
      <w:bookmarkStart w:id="28" w:name="_Toc1225"/>
      <w:r>
        <w:rPr>
          <w:rFonts w:hint="eastAsia" w:eastAsia="黑体"/>
          <w:bCs/>
          <w:color w:val="000000"/>
          <w:kern w:val="0"/>
          <w:sz w:val="24"/>
          <w:lang w:val="en-US" w:eastAsia="zh-CN"/>
        </w:rPr>
        <w:t>团体</w:t>
      </w:r>
      <w:r>
        <w:rPr>
          <w:rFonts w:eastAsia="黑体"/>
          <w:bCs/>
          <w:color w:val="000000"/>
          <w:kern w:val="0"/>
          <w:sz w:val="24"/>
        </w:rPr>
        <w:t>标准编制原则和确定</w:t>
      </w:r>
      <w:r>
        <w:rPr>
          <w:rFonts w:hint="eastAsia" w:eastAsia="黑体"/>
          <w:bCs/>
          <w:color w:val="000000"/>
          <w:kern w:val="0"/>
          <w:sz w:val="24"/>
          <w:lang w:val="en-US" w:eastAsia="zh-CN"/>
        </w:rPr>
        <w:t>团体</w:t>
      </w:r>
      <w:r>
        <w:rPr>
          <w:rFonts w:eastAsia="黑体"/>
          <w:bCs/>
          <w:color w:val="000000"/>
          <w:kern w:val="0"/>
          <w:sz w:val="24"/>
        </w:rPr>
        <w:t>标准主要内容</w:t>
      </w:r>
      <w:bookmarkEnd w:id="27"/>
      <w:bookmarkEnd w:id="28"/>
      <w:r>
        <w:rPr>
          <w:rFonts w:eastAsia="黑体"/>
          <w:bCs/>
          <w:color w:val="000000"/>
          <w:kern w:val="0"/>
          <w:sz w:val="24"/>
        </w:rPr>
        <w:t>的依据</w:t>
      </w:r>
    </w:p>
    <w:p>
      <w:pPr>
        <w:spacing w:line="400" w:lineRule="exact"/>
        <w:ind w:firstLine="0" w:firstLineChars="0"/>
      </w:pPr>
      <w:bookmarkStart w:id="29" w:name="_Toc6444"/>
      <w:bookmarkStart w:id="30" w:name="_Toc36212248"/>
      <w:bookmarkStart w:id="31" w:name="_Toc26215"/>
      <w:r>
        <w:t>1、标准编制原则</w:t>
      </w:r>
    </w:p>
    <w:p>
      <w:pPr>
        <w:spacing w:line="400" w:lineRule="exact"/>
        <w:ind w:firstLine="420"/>
      </w:pPr>
      <w:r>
        <w:t>据行业调研成果，结合行业技术现状和需求确定本标准修订的基本原则和方向，立足于我国电动摩托车和电动轻便摩托车用锂离子电池管理系统性能验证</w:t>
      </w:r>
      <w:r>
        <w:rPr>
          <w:rFonts w:hint="eastAsia"/>
        </w:rPr>
        <w:t>，</w:t>
      </w:r>
      <w:r>
        <w:t>规范统一电动摩托车和电动轻便摩托车用锂离子电池管理系统</w:t>
      </w:r>
      <w:r>
        <w:rPr>
          <w:rFonts w:hint="eastAsia"/>
          <w:lang w:val="en-US" w:eastAsia="zh-CN"/>
        </w:rPr>
        <w:t>技术要求和</w:t>
      </w:r>
      <w:r>
        <w:t>试验方法，提高电动摩托车和电动轻便摩托车的安全性，减少电动摩托车和电动轻便摩托车</w:t>
      </w:r>
      <w:r>
        <w:rPr>
          <w:rFonts w:hint="eastAsia"/>
          <w:lang w:val="en-US" w:eastAsia="zh-CN"/>
        </w:rPr>
        <w:t>安全</w:t>
      </w:r>
      <w:r>
        <w:t>事故发生。</w:t>
      </w:r>
    </w:p>
    <w:p>
      <w:pPr>
        <w:spacing w:line="400" w:lineRule="exact"/>
        <w:ind w:firstLine="0" w:firstLineChars="0"/>
      </w:pPr>
      <w:r>
        <w:t>1.1满足行业需求</w:t>
      </w:r>
    </w:p>
    <w:p>
      <w:pPr>
        <w:spacing w:line="400" w:lineRule="exact"/>
        <w:ind w:firstLine="420"/>
      </w:pPr>
      <w:r>
        <w:t>我国电动摩托车和电动轻便摩托车行业</w:t>
      </w:r>
      <w:r>
        <w:rPr>
          <w:rFonts w:hint="eastAsia"/>
          <w:lang w:val="en-US" w:eastAsia="zh-CN"/>
        </w:rPr>
        <w:t>迅速</w:t>
      </w:r>
      <w:r>
        <w:t>发展，</w:t>
      </w:r>
      <w:r>
        <w:rPr>
          <w:rFonts w:hint="default" w:ascii="Times New Roman" w:hAnsi="Times New Roman" w:eastAsia="宋体" w:cs="Times New Roman"/>
          <w:color w:val="auto"/>
          <w:sz w:val="21"/>
          <w:szCs w:val="21"/>
          <w:lang w:val="en-US" w:eastAsia="zh-CN"/>
        </w:rPr>
        <w:t>而</w:t>
      </w:r>
      <w:r>
        <w:rPr>
          <w:rFonts w:hint="eastAsia" w:ascii="Times New Roman" w:hAnsi="Times New Roman" w:eastAsia="宋体" w:cs="Times New Roman"/>
          <w:color w:val="auto"/>
          <w:sz w:val="21"/>
          <w:szCs w:val="21"/>
          <w:lang w:val="en-US" w:eastAsia="zh-CN"/>
        </w:rPr>
        <w:t>其</w:t>
      </w:r>
      <w:r>
        <w:rPr>
          <w:rFonts w:hint="default" w:ascii="Times New Roman" w:hAnsi="Times New Roman" w:eastAsia="宋体" w:cs="Times New Roman"/>
          <w:color w:val="auto"/>
          <w:sz w:val="21"/>
          <w:szCs w:val="21"/>
          <w:lang w:val="en-US" w:eastAsia="zh-CN"/>
        </w:rPr>
        <w:t>锂电池</w:t>
      </w:r>
      <w:r>
        <w:rPr>
          <w:rFonts w:hint="eastAsia" w:ascii="Times New Roman" w:hAnsi="Times New Roman" w:eastAsia="宋体" w:cs="Times New Roman"/>
          <w:color w:val="auto"/>
          <w:sz w:val="21"/>
          <w:szCs w:val="21"/>
          <w:lang w:val="en-US" w:eastAsia="zh-CN"/>
        </w:rPr>
        <w:t>使用</w:t>
      </w:r>
      <w:r>
        <w:rPr>
          <w:rFonts w:hint="default" w:ascii="Times New Roman" w:hAnsi="Times New Roman" w:eastAsia="宋体" w:cs="Times New Roman"/>
          <w:color w:val="auto"/>
          <w:sz w:val="21"/>
          <w:szCs w:val="21"/>
          <w:lang w:val="en-US" w:eastAsia="zh-CN"/>
        </w:rPr>
        <w:t>安全性相对较差，近年来火灾频发，阻碍了行业发展。电池管理系统是保证锂离子电池运行安全，具有不可或缺的作用，然而目前国内</w:t>
      </w:r>
      <w:r>
        <w:rPr>
          <w:rFonts w:hint="eastAsia" w:ascii="Times New Roman" w:hAnsi="Times New Roman" w:eastAsia="宋体" w:cs="Times New Roman"/>
          <w:color w:val="auto"/>
          <w:sz w:val="21"/>
          <w:szCs w:val="21"/>
          <w:lang w:val="en-US" w:eastAsia="zh-CN"/>
        </w:rPr>
        <w:t>尚</w:t>
      </w:r>
      <w:r>
        <w:rPr>
          <w:rFonts w:hint="default" w:ascii="Times New Roman" w:hAnsi="Times New Roman" w:eastAsia="宋体" w:cs="Times New Roman"/>
          <w:color w:val="auto"/>
          <w:sz w:val="21"/>
          <w:szCs w:val="21"/>
          <w:lang w:val="en-US" w:eastAsia="zh-CN"/>
        </w:rPr>
        <w:t>无电动摩托车和电动轻便摩托车用锂离子电池管理系统标准规范</w:t>
      </w:r>
      <w:r>
        <w:rPr>
          <w:rFonts w:hint="eastAsia" w:ascii="Times New Roman" w:hAnsi="Times New Roman" w:eastAsia="宋体" w:cs="Times New Roman"/>
          <w:color w:val="auto"/>
          <w:sz w:val="21"/>
          <w:szCs w:val="21"/>
          <w:lang w:val="en-US" w:eastAsia="zh-CN"/>
        </w:rPr>
        <w:t>，这无疑</w:t>
      </w:r>
      <w:r>
        <w:t>制约</w:t>
      </w:r>
      <w:r>
        <w:rPr>
          <w:rFonts w:hint="eastAsia"/>
          <w:lang w:val="en-US" w:eastAsia="zh-CN"/>
        </w:rPr>
        <w:t>着</w:t>
      </w:r>
      <w:r>
        <w:rPr>
          <w:rFonts w:hint="eastAsia"/>
        </w:rPr>
        <w:t>我国</w:t>
      </w:r>
      <w:r>
        <w:rPr>
          <w:rFonts w:hint="default" w:ascii="Times New Roman" w:hAnsi="Times New Roman" w:eastAsia="宋体" w:cs="Times New Roman"/>
          <w:color w:val="auto"/>
          <w:sz w:val="21"/>
          <w:szCs w:val="21"/>
          <w:lang w:val="en-US" w:eastAsia="zh-CN"/>
        </w:rPr>
        <w:t>电动摩托车和电动轻便摩托车</w:t>
      </w:r>
      <w:r>
        <w:t>对先进技术的应用和</w:t>
      </w:r>
      <w:r>
        <w:rPr>
          <w:rFonts w:hint="eastAsia"/>
          <w:lang w:val="en-US" w:eastAsia="zh-CN"/>
        </w:rPr>
        <w:t>消费</w:t>
      </w:r>
      <w:r>
        <w:t>产品的竞争力。</w:t>
      </w:r>
    </w:p>
    <w:p>
      <w:pPr>
        <w:spacing w:line="400" w:lineRule="exact"/>
        <w:ind w:firstLine="0" w:firstLineChars="0"/>
      </w:pPr>
      <w:r>
        <w:t>1.2标准可行性</w:t>
      </w:r>
    </w:p>
    <w:p>
      <w:pPr>
        <w:spacing w:line="400" w:lineRule="exact"/>
        <w:ind w:firstLine="420"/>
      </w:pPr>
      <w:r>
        <w:rPr>
          <w:rFonts w:hint="eastAsia"/>
        </w:rPr>
        <w:t>编制组</w:t>
      </w:r>
      <w:r>
        <w:t>调研了</w:t>
      </w:r>
      <w:r>
        <w:rPr>
          <w:rFonts w:hint="default" w:ascii="Times New Roman" w:hAnsi="Times New Roman" w:eastAsia="宋体" w:cs="Times New Roman"/>
          <w:color w:val="auto"/>
          <w:sz w:val="21"/>
          <w:szCs w:val="21"/>
          <w:lang w:val="en-US" w:eastAsia="zh-CN"/>
        </w:rPr>
        <w:t>电动摩托车和电动轻便摩托车</w:t>
      </w:r>
      <w:r>
        <w:t>、</w:t>
      </w:r>
      <w:r>
        <w:rPr>
          <w:rFonts w:hint="default" w:ascii="Times New Roman" w:hAnsi="Times New Roman" w:eastAsia="宋体" w:cs="Times New Roman"/>
          <w:color w:val="auto"/>
          <w:sz w:val="21"/>
          <w:szCs w:val="21"/>
          <w:lang w:val="en-US" w:eastAsia="zh-CN"/>
        </w:rPr>
        <w:t>锂离子电池</w:t>
      </w:r>
      <w:r>
        <w:rPr>
          <w:rFonts w:hint="eastAsia" w:ascii="Times New Roman" w:hAnsi="Times New Roman" w:eastAsia="宋体" w:cs="Times New Roman"/>
          <w:color w:val="auto"/>
          <w:sz w:val="21"/>
          <w:szCs w:val="21"/>
          <w:lang w:val="en-US" w:eastAsia="zh-CN"/>
        </w:rPr>
        <w:t>及</w:t>
      </w:r>
      <w:r>
        <w:rPr>
          <w:rFonts w:hint="default" w:ascii="Times New Roman" w:hAnsi="Times New Roman" w:eastAsia="宋体" w:cs="Times New Roman"/>
          <w:color w:val="auto"/>
          <w:sz w:val="21"/>
          <w:szCs w:val="21"/>
          <w:lang w:val="en-US" w:eastAsia="zh-CN"/>
        </w:rPr>
        <w:t>电池管理系统</w:t>
      </w:r>
      <w:r>
        <w:rPr>
          <w:rFonts w:hint="eastAsia" w:ascii="Times New Roman" w:hAnsi="Times New Roman" w:eastAsia="宋体" w:cs="Times New Roman"/>
          <w:color w:val="auto"/>
          <w:sz w:val="21"/>
          <w:szCs w:val="21"/>
          <w:lang w:val="en-US" w:eastAsia="zh-CN"/>
        </w:rPr>
        <w:t>等企业</w:t>
      </w:r>
      <w:r>
        <w:t>，充分考虑了各方意见，同时结合企业在进行产品性能试验中的实际做法</w:t>
      </w:r>
      <w:r>
        <w:rPr>
          <w:rFonts w:hint="eastAsia"/>
        </w:rPr>
        <w:t>，</w:t>
      </w:r>
      <w:r>
        <w:rPr>
          <w:rFonts w:hint="eastAsia"/>
          <w:lang w:val="en-US" w:eastAsia="zh-CN"/>
        </w:rPr>
        <w:t>编制《</w:t>
      </w:r>
      <w:r>
        <w:rPr>
          <w:rFonts w:hint="default" w:ascii="Times New Roman" w:hAnsi="Times New Roman" w:eastAsia="宋体" w:cs="Times New Roman"/>
          <w:color w:val="auto"/>
          <w:sz w:val="21"/>
          <w:szCs w:val="21"/>
          <w:lang w:val="en-US" w:eastAsia="zh-CN"/>
        </w:rPr>
        <w:t>电动摩托车和电动轻便摩托车用锂离子电池管理系统</w:t>
      </w:r>
      <w:r>
        <w:rPr>
          <w:rFonts w:hint="eastAsia" w:ascii="Times New Roman" w:hAnsi="Times New Roman" w:eastAsia="宋体" w:cs="Times New Roman"/>
          <w:color w:val="auto"/>
          <w:sz w:val="21"/>
          <w:szCs w:val="21"/>
          <w:lang w:val="en-US" w:eastAsia="zh-CN"/>
        </w:rPr>
        <w:t>》以规范</w:t>
      </w:r>
      <w:r>
        <w:rPr>
          <w:rFonts w:hint="default" w:ascii="Times New Roman" w:hAnsi="Times New Roman" w:eastAsia="宋体" w:cs="Times New Roman"/>
          <w:color w:val="auto"/>
          <w:sz w:val="21"/>
          <w:szCs w:val="21"/>
          <w:lang w:val="en-US" w:eastAsia="zh-CN"/>
        </w:rPr>
        <w:t>电动摩托车和电动轻便摩托车用锂离子电池管理系统</w:t>
      </w:r>
      <w:r>
        <w:rPr>
          <w:rFonts w:hint="eastAsia" w:ascii="Times New Roman" w:hAnsi="Times New Roman" w:eastAsia="宋体" w:cs="Times New Roman"/>
          <w:color w:val="auto"/>
          <w:sz w:val="21"/>
          <w:szCs w:val="21"/>
          <w:lang w:val="en-US" w:eastAsia="zh-CN"/>
        </w:rPr>
        <w:t>技术性能要求从而提高</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使用安全</w:t>
      </w:r>
      <w:r>
        <w:t>。</w:t>
      </w:r>
    </w:p>
    <w:p>
      <w:pPr>
        <w:spacing w:line="400" w:lineRule="exact"/>
        <w:ind w:firstLine="0" w:firstLineChars="0"/>
      </w:pPr>
      <w:r>
        <w:t>1.3编写规范性</w:t>
      </w:r>
    </w:p>
    <w:p>
      <w:pPr>
        <w:spacing w:line="400" w:lineRule="exact"/>
        <w:ind w:firstLine="420"/>
      </w:pPr>
      <w:r>
        <w:t>本标准为</w:t>
      </w:r>
      <w:r>
        <w:rPr>
          <w:rFonts w:hint="eastAsia"/>
          <w:lang w:val="en-US" w:eastAsia="zh-CN"/>
        </w:rPr>
        <w:t>团体</w:t>
      </w:r>
      <w:r>
        <w:t>标准，严格执行</w:t>
      </w:r>
      <w:r>
        <w:rPr>
          <w:rFonts w:hint="eastAsia"/>
          <w:lang w:val="en-US" w:eastAsia="zh-CN"/>
        </w:rPr>
        <w:t>团体</w:t>
      </w:r>
      <w:r>
        <w:t>标准的各项要求，按照 GB/T 1.1-2020《标准化工作导则 第 1部分: 标准文件的结构和起</w:t>
      </w:r>
      <w:r>
        <w:rPr>
          <w:rFonts w:hint="eastAsia"/>
          <w:lang w:val="en-US" w:eastAsia="zh-CN"/>
        </w:rPr>
        <w:t>草</w:t>
      </w:r>
      <w:r>
        <w:t>规则》等有关规定进行编写。</w:t>
      </w:r>
    </w:p>
    <w:p>
      <w:pPr>
        <w:spacing w:line="400" w:lineRule="exact"/>
        <w:ind w:firstLine="0" w:firstLineChars="0"/>
      </w:pPr>
      <w:r>
        <w:t>2、标准</w:t>
      </w:r>
      <w:r>
        <w:rPr>
          <w:rFonts w:hint="eastAsia"/>
          <w:lang w:val="en-US" w:eastAsia="zh-CN"/>
        </w:rPr>
        <w:t>编制</w:t>
      </w:r>
      <w:r>
        <w:t>主要内容</w:t>
      </w:r>
    </w:p>
    <w:p>
      <w:pPr>
        <w:spacing w:line="400" w:lineRule="exact"/>
        <w:ind w:firstLine="0" w:firstLineChars="0"/>
        <w:rPr>
          <w:rFonts w:hint="default" w:eastAsia="宋体"/>
          <w:lang w:val="en-US" w:eastAsia="zh-CN"/>
        </w:rPr>
      </w:pPr>
      <w:bookmarkStart w:id="32" w:name="_Hlk139895157"/>
      <w:r>
        <w:t>2.1</w:t>
      </w:r>
      <w:r>
        <w:rPr>
          <w:rFonts w:hint="eastAsia"/>
          <w:lang w:val="en-US" w:eastAsia="zh-CN"/>
        </w:rPr>
        <w:t>标准主要技术内容</w:t>
      </w:r>
    </w:p>
    <w:p>
      <w:pPr>
        <w:spacing w:line="400" w:lineRule="exact"/>
        <w:ind w:firstLine="420"/>
      </w:pPr>
      <w:r>
        <w:t>本标准</w:t>
      </w:r>
      <w:r>
        <w:rPr>
          <w:rFonts w:hint="eastAsia"/>
        </w:rPr>
        <w:t>共分为</w:t>
      </w:r>
      <w:r>
        <w:rPr>
          <w:rFonts w:hint="eastAsia"/>
          <w:lang w:val="en-US" w:eastAsia="zh-CN"/>
        </w:rPr>
        <w:t>8</w:t>
      </w:r>
      <w:r>
        <w:rPr>
          <w:rFonts w:hint="eastAsia"/>
        </w:rPr>
        <w:t>章，规定了</w:t>
      </w:r>
      <w:r>
        <w:rPr>
          <w:rFonts w:hint="default" w:ascii="Times New Roman" w:hAnsi="Times New Roman" w:eastAsia="宋体" w:cs="Times New Roman"/>
          <w:color w:val="auto"/>
          <w:sz w:val="21"/>
          <w:szCs w:val="21"/>
          <w:lang w:val="en-US" w:eastAsia="zh-CN"/>
        </w:rPr>
        <w:t>电动摩托车和电动轻便摩托车用锂离子电池管理系统</w:t>
      </w:r>
      <w:r>
        <w:rPr>
          <w:rFonts w:hint="eastAsia"/>
        </w:rPr>
        <w:t>的</w:t>
      </w:r>
      <w:r>
        <w:rPr>
          <w:rFonts w:hint="eastAsia"/>
          <w:lang w:val="en-US" w:eastAsia="zh-CN"/>
        </w:rPr>
        <w:t>技术</w:t>
      </w:r>
      <w:r>
        <w:rPr>
          <w:rFonts w:hint="eastAsia"/>
        </w:rPr>
        <w:t>要求及试验方法。内容包括范围、规范性引用文件、术语和定义、</w:t>
      </w:r>
      <w:r>
        <w:rPr>
          <w:rFonts w:hint="eastAsia"/>
          <w:lang w:val="en-US" w:eastAsia="zh-CN"/>
        </w:rPr>
        <w:t>符号、技术</w:t>
      </w:r>
      <w:r>
        <w:rPr>
          <w:rFonts w:hint="eastAsia"/>
        </w:rPr>
        <w:t>要求、试验</w:t>
      </w:r>
      <w:r>
        <w:rPr>
          <w:rFonts w:hint="eastAsia"/>
          <w:lang w:val="en-US" w:eastAsia="zh-CN"/>
        </w:rPr>
        <w:t>方法</w:t>
      </w:r>
      <w:r>
        <w:rPr>
          <w:rFonts w:hint="eastAsia"/>
        </w:rPr>
        <w:t>、</w:t>
      </w:r>
      <w:r>
        <w:rPr>
          <w:rFonts w:hint="eastAsia"/>
          <w:lang w:val="en-US" w:eastAsia="zh-CN"/>
        </w:rPr>
        <w:t>标志以及包装、运输、贮存</w:t>
      </w:r>
      <w:r>
        <w:t>。</w:t>
      </w:r>
    </w:p>
    <w:p>
      <w:pPr>
        <w:spacing w:line="400" w:lineRule="exact"/>
        <w:ind w:firstLine="420"/>
        <w:rPr>
          <w:rFonts w:hint="default" w:eastAsia="宋体"/>
          <w:lang w:val="en-US" w:eastAsia="zh-CN"/>
        </w:rPr>
      </w:pPr>
      <w:r>
        <w:rPr>
          <w:rFonts w:hint="eastAsia"/>
          <w:lang w:val="en-US" w:eastAsia="zh-CN"/>
        </w:rPr>
        <w:t>技术要求和试验方法包括：一般要求、功能要求、电气性能、机械与环境适应性能、电磁兼容性能以及其他要求。</w:t>
      </w:r>
    </w:p>
    <w:p>
      <w:pPr>
        <w:spacing w:line="400" w:lineRule="exact"/>
        <w:ind w:left="0" w:leftChars="0" w:firstLine="0" w:firstLineChars="0"/>
      </w:pPr>
      <w:r>
        <w:rPr>
          <w:rFonts w:hint="eastAsia"/>
          <w:lang w:val="en-US" w:eastAsia="zh-CN"/>
        </w:rPr>
        <w:t>3.</w:t>
      </w:r>
      <w:r>
        <w:rPr>
          <w:rFonts w:hint="eastAsia"/>
        </w:rPr>
        <w:t>标准主要内容的论据</w:t>
      </w:r>
    </w:p>
    <w:p>
      <w:pPr>
        <w:spacing w:line="400" w:lineRule="exact"/>
        <w:ind w:firstLine="420" w:firstLineChars="200"/>
      </w:pPr>
      <w:r>
        <w:rPr>
          <w:rFonts w:hint="eastAsia"/>
        </w:rPr>
        <w:t>本标准立足</w:t>
      </w:r>
      <w:r>
        <w:rPr>
          <w:rFonts w:hint="default" w:ascii="Times New Roman" w:hAnsi="Times New Roman" w:eastAsia="宋体" w:cs="Times New Roman"/>
          <w:color w:val="auto"/>
          <w:sz w:val="21"/>
          <w:szCs w:val="21"/>
          <w:lang w:val="en-US" w:eastAsia="zh-CN"/>
        </w:rPr>
        <w:t>电动摩托车和电动轻便摩托车</w:t>
      </w:r>
      <w:r>
        <w:rPr>
          <w:rFonts w:hint="eastAsia"/>
        </w:rPr>
        <w:t>驾乘人员生命安全，以提高</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用锂离子电池使用</w:t>
      </w:r>
      <w:r>
        <w:rPr>
          <w:rFonts w:hint="eastAsia"/>
        </w:rPr>
        <w:t>安全为目的，从而降低或减少因起火事故造成的驾乘人员伤亡和财产损失。本标准整合了</w:t>
      </w:r>
      <w:r>
        <w:rPr>
          <w:rFonts w:hint="eastAsia"/>
          <w:lang w:val="en-US" w:eastAsia="zh-CN"/>
        </w:rPr>
        <w:t>电动汽车用、电动摩托车用、电动自行车用锂离子电池和电池管理系统相关技术要求和性能指标</w:t>
      </w:r>
      <w:r>
        <w:rPr>
          <w:rFonts w:hint="eastAsia"/>
        </w:rPr>
        <w:t>，设定合理的要求内容和测试内容，</w:t>
      </w:r>
      <w:r>
        <w:rPr>
          <w:rFonts w:hint="eastAsia"/>
          <w:lang w:val="en-US" w:eastAsia="zh-CN"/>
        </w:rPr>
        <w:t>以</w:t>
      </w:r>
      <w:r>
        <w:rPr>
          <w:rFonts w:hint="eastAsia"/>
        </w:rPr>
        <w:t>保证</w:t>
      </w:r>
      <w:r>
        <w:rPr>
          <w:rFonts w:hint="eastAsia"/>
          <w:lang w:val="en-US" w:eastAsia="zh-CN"/>
        </w:rPr>
        <w:t>全面、系统、有效地</w:t>
      </w:r>
      <w:r>
        <w:rPr>
          <w:rFonts w:hint="eastAsia"/>
        </w:rPr>
        <w:t>评估</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管理系统安全可靠性</w:t>
      </w:r>
      <w:r>
        <w:rPr>
          <w:rFonts w:hint="eastAsia"/>
        </w:rPr>
        <w:t>。</w:t>
      </w:r>
    </w:p>
    <w:p>
      <w:pPr>
        <w:spacing w:line="400" w:lineRule="exact"/>
        <w:ind w:firstLine="420" w:firstLineChars="200"/>
        <w:rPr>
          <w:rFonts w:hint="default"/>
          <w:highlight w:val="red"/>
        </w:rPr>
      </w:pPr>
      <w:r>
        <w:rPr>
          <w:rFonts w:hint="eastAsia"/>
        </w:rPr>
        <w:t>根据</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运用场景及其锂离子电池的安全规范要求</w:t>
      </w:r>
      <w:r>
        <w:rPr>
          <w:rFonts w:hint="eastAsia"/>
        </w:rPr>
        <w:t>，</w:t>
      </w:r>
      <w:r>
        <w:rPr>
          <w:rFonts w:hint="eastAsia"/>
          <w:lang w:val="en-US" w:eastAsia="zh-CN"/>
        </w:rPr>
        <w:t>从一般要求、功能要求、电气性能、机械与环境适应性能、电磁兼容性能等方面对电池管理系统进行全面考核</w:t>
      </w:r>
      <w:r>
        <w:rPr>
          <w:rFonts w:hint="default"/>
          <w:lang w:eastAsia="zh-CN"/>
        </w:rPr>
        <w:t>。</w:t>
      </w:r>
    </w:p>
    <w:p>
      <w:pPr>
        <w:spacing w:line="400" w:lineRule="exact"/>
        <w:ind w:firstLine="0" w:firstLineChars="0"/>
      </w:pPr>
      <w:r>
        <w:t>3</w:t>
      </w:r>
      <w:r>
        <w:rPr>
          <w:rFonts w:hint="eastAsia"/>
          <w:lang w:eastAsia="zh-CN"/>
        </w:rPr>
        <w:t>.</w:t>
      </w:r>
      <w:r>
        <w:rPr>
          <w:rFonts w:hint="eastAsia"/>
          <w:lang w:val="en-US" w:eastAsia="zh-CN"/>
        </w:rPr>
        <w:t>1</w:t>
      </w:r>
      <w:r>
        <w:t>一般要求</w:t>
      </w:r>
    </w:p>
    <w:p>
      <w:pPr>
        <w:spacing w:line="400" w:lineRule="exact"/>
        <w:ind w:firstLine="420"/>
        <w:rPr>
          <w:rFonts w:hint="eastAsia" w:eastAsia="宋体"/>
          <w:lang w:val="en-US" w:eastAsia="zh-CN"/>
        </w:rPr>
      </w:pPr>
      <w:r>
        <w:rPr>
          <w:rFonts w:hint="eastAsia"/>
          <w:lang w:val="en-US" w:eastAsia="zh-CN"/>
        </w:rPr>
        <w:t>总体规范</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管理系统使用的实用、便捷和安全性。整合了</w:t>
      </w:r>
      <w:r>
        <w:rPr>
          <w:rFonts w:hint="eastAsia"/>
        </w:rPr>
        <w:t>国内相关标准及</w:t>
      </w:r>
      <w:r>
        <w:rPr>
          <w:rFonts w:hint="eastAsia"/>
          <w:lang w:val="en-US" w:eastAsia="zh-CN"/>
        </w:rPr>
        <w:t>企业内部规范</w:t>
      </w:r>
      <w:r>
        <w:rPr>
          <w:rFonts w:hint="eastAsia"/>
        </w:rPr>
        <w:t>，使标准</w:t>
      </w:r>
      <w:r>
        <w:rPr>
          <w:rFonts w:hint="eastAsia"/>
          <w:lang w:val="en-US" w:eastAsia="zh-CN"/>
        </w:rPr>
        <w:t>通用性要求</w:t>
      </w:r>
      <w:r>
        <w:rPr>
          <w:rFonts w:hint="eastAsia"/>
        </w:rPr>
        <w:t>更加准确简单明了</w:t>
      </w:r>
      <w:r>
        <w:rPr>
          <w:rFonts w:hint="eastAsia"/>
          <w:lang w:eastAsia="zh-CN"/>
        </w:rPr>
        <w:t>。</w:t>
      </w:r>
    </w:p>
    <w:p>
      <w:pPr>
        <w:spacing w:line="400" w:lineRule="exact"/>
        <w:ind w:firstLine="0" w:firstLineChars="0"/>
        <w:rPr>
          <w:rFonts w:hint="eastAsia"/>
          <w:lang w:val="en-US" w:eastAsia="zh-CN"/>
        </w:rPr>
      </w:pPr>
      <w:bookmarkStart w:id="33" w:name="OLE_LINK4"/>
      <w:r>
        <w:rPr>
          <w:rFonts w:hint="eastAsia"/>
          <w:lang w:val="en-US" w:eastAsia="zh-CN"/>
        </w:rPr>
        <w:t>3.2</w:t>
      </w:r>
      <w:bookmarkEnd w:id="33"/>
      <w:r>
        <w:rPr>
          <w:rFonts w:hint="eastAsia"/>
          <w:lang w:val="en-US" w:eastAsia="zh-CN"/>
        </w:rPr>
        <w:t>功能要求及试验方法</w:t>
      </w:r>
    </w:p>
    <w:p>
      <w:pPr>
        <w:spacing w:line="400" w:lineRule="exact"/>
        <w:ind w:firstLine="0" w:firstLineChars="0"/>
        <w:rPr>
          <w:rFonts w:hint="eastAsia"/>
          <w:lang w:val="en-US" w:eastAsia="zh-CN"/>
        </w:rPr>
      </w:pPr>
      <w:r>
        <w:rPr>
          <w:rFonts w:hint="eastAsia"/>
          <w:lang w:val="en-US" w:eastAsia="zh-CN"/>
        </w:rPr>
        <w:t xml:space="preserve">    编制了状态测量参数、短路保护、过流保护、电压保护、温度保护、均衡保护。功能要求涉及到电池管理系统的数据监控、数据采集及其出现异常情况及时作出保护响应，功能要求的检测项目的设置是根据驾乘人员实际使用过程保证顺利行驶和安全所必须的。</w:t>
      </w:r>
    </w:p>
    <w:p>
      <w:pPr>
        <w:spacing w:line="400" w:lineRule="exact"/>
        <w:ind w:firstLine="0" w:firstLineChars="0"/>
        <w:rPr>
          <w:rFonts w:hint="eastAsia"/>
          <w:lang w:val="en-US" w:eastAsia="zh-CN"/>
        </w:rPr>
      </w:pPr>
      <w:r>
        <w:rPr>
          <w:rFonts w:hint="eastAsia"/>
          <w:lang w:val="en-US" w:eastAsia="zh-CN"/>
        </w:rPr>
        <w:t>3.3电气性能及试验方法</w:t>
      </w:r>
    </w:p>
    <w:p>
      <w:pPr>
        <w:spacing w:line="400" w:lineRule="exact"/>
        <w:ind w:firstLine="0" w:firstLineChars="0"/>
        <w:rPr>
          <w:rFonts w:hint="default"/>
          <w:lang w:val="en-US" w:eastAsia="zh-CN"/>
        </w:rPr>
      </w:pPr>
      <w:r>
        <w:rPr>
          <w:rFonts w:hint="eastAsia"/>
          <w:lang w:val="en-US" w:eastAsia="zh-CN"/>
        </w:rPr>
        <w:t xml:space="preserve">    编制了供电电压、供电电压瞬态变化、过电压、反向电压、休眠电流、绝缘电阻、耐压性能。本章编制了</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w:t>
      </w:r>
      <w:r>
        <w:rPr>
          <w:rFonts w:hint="eastAsia"/>
          <w:lang w:val="en-US" w:eastAsia="zh-CN"/>
        </w:rPr>
        <w:t>电池管理系统电气基本性能和在外力因素变化范围下所要达到的必要要求。</w:t>
      </w:r>
    </w:p>
    <w:p>
      <w:pPr>
        <w:spacing w:line="400" w:lineRule="exact"/>
        <w:ind w:firstLine="0" w:firstLineChars="0"/>
        <w:rPr>
          <w:rFonts w:hint="eastAsia"/>
          <w:lang w:val="en-US" w:eastAsia="zh-CN"/>
        </w:rPr>
      </w:pPr>
      <w:r>
        <w:rPr>
          <w:rFonts w:hint="eastAsia"/>
          <w:lang w:val="en-US" w:eastAsia="zh-CN"/>
        </w:rPr>
        <w:t>3.4机械与环境适应性能及试验方法</w:t>
      </w:r>
    </w:p>
    <w:p>
      <w:pPr>
        <w:spacing w:line="400" w:lineRule="exact"/>
        <w:ind w:left="0" w:leftChars="0" w:firstLine="420" w:firstLineChars="200"/>
        <w:rPr>
          <w:rFonts w:hint="default"/>
          <w:lang w:val="en-US" w:eastAsia="zh-CN"/>
        </w:rPr>
      </w:pPr>
      <w:r>
        <w:rPr>
          <w:rFonts w:hint="eastAsia"/>
          <w:lang w:val="en-US" w:eastAsia="zh-CN"/>
        </w:rPr>
        <w:t>编制了耐振动、耐冲击、耐低温、耐高温、耐湿热试验项目。本章编制的耐振动和耐冲击机械安全性能与现行</w:t>
      </w:r>
      <w:r>
        <w:rPr>
          <w:rFonts w:hint="eastAsia" w:ascii="Calibri" w:hAnsi="Calibri" w:eastAsia="宋体" w:cs="Times New Roman"/>
          <w:kern w:val="2"/>
          <w:sz w:val="21"/>
          <w:szCs w:val="21"/>
          <w:lang w:val="en-US" w:eastAsia="zh-CN" w:bidi="ar"/>
        </w:rPr>
        <w:t>电动摩托车和电动轻便摩托车用锂离子电池相关要求和试验方法保持一致；</w:t>
      </w:r>
      <w:r>
        <w:rPr>
          <w:rFonts w:hint="eastAsia"/>
          <w:lang w:val="en-US" w:eastAsia="zh-CN"/>
        </w:rPr>
        <w:t>耐低温、耐高温、耐湿热试验项目则结合了电动客车用、电动自行车用电池管理系统相关标准法规进行提炼和整合。</w:t>
      </w:r>
    </w:p>
    <w:p>
      <w:pPr>
        <w:spacing w:line="400" w:lineRule="exact"/>
        <w:ind w:left="0" w:leftChars="0" w:firstLine="0" w:firstLineChars="0"/>
        <w:rPr>
          <w:rFonts w:hint="eastAsia"/>
          <w:lang w:val="en-US" w:eastAsia="zh-CN"/>
        </w:rPr>
      </w:pPr>
      <w:r>
        <w:rPr>
          <w:rFonts w:hint="eastAsia"/>
          <w:lang w:val="en-US" w:eastAsia="zh-CN"/>
        </w:rPr>
        <w:t>3.5电磁兼容性能</w:t>
      </w:r>
    </w:p>
    <w:p>
      <w:pPr>
        <w:spacing w:line="400" w:lineRule="exact"/>
        <w:ind w:left="0" w:leftChars="0" w:firstLine="420" w:firstLineChars="0"/>
        <w:rPr>
          <w:rFonts w:hint="default"/>
          <w:lang w:val="en-US" w:eastAsia="zh-CN"/>
        </w:rPr>
      </w:pPr>
      <w:r>
        <w:rPr>
          <w:rFonts w:hint="eastAsia"/>
          <w:lang w:val="en-US" w:eastAsia="zh-CN"/>
        </w:rPr>
        <w:t>编制了静电放电、传导骚扰、辐射骚扰、浪涌（冲击）抗扰度试验项目。本章结合相关标准及企业规范进行项目设置，并借鉴相关电磁兼容试验方法。</w:t>
      </w:r>
    </w:p>
    <w:bookmarkEnd w:id="32"/>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r>
        <w:rPr>
          <w:rFonts w:eastAsia="黑体"/>
          <w:bCs/>
          <w:color w:val="000000"/>
          <w:kern w:val="0"/>
          <w:sz w:val="24"/>
        </w:rPr>
        <w:t>主要试验（或验证）情况分析</w:t>
      </w:r>
      <w:bookmarkEnd w:id="29"/>
      <w:bookmarkEnd w:id="30"/>
      <w:bookmarkEnd w:id="31"/>
    </w:p>
    <w:p>
      <w:pPr>
        <w:spacing w:line="400" w:lineRule="exact"/>
        <w:ind w:firstLine="420"/>
      </w:pPr>
      <w:r>
        <w:t>在本标准的</w:t>
      </w:r>
      <w:r>
        <w:rPr>
          <w:rFonts w:hint="eastAsia"/>
          <w:lang w:val="en-US" w:eastAsia="zh-CN"/>
        </w:rPr>
        <w:t>编制</w:t>
      </w:r>
      <w:r>
        <w:t>过程中，</w:t>
      </w:r>
      <w:r>
        <w:rPr>
          <w:rFonts w:hint="eastAsia"/>
        </w:rPr>
        <w:t>编制组</w:t>
      </w:r>
      <w:r>
        <w:t>成员单位基于</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w:t>
      </w:r>
      <w:r>
        <w:t>行业发展现状与相关要求，充分考虑国内</w:t>
      </w:r>
      <w:r>
        <w:rPr>
          <w:rFonts w:hint="eastAsia"/>
        </w:rPr>
        <w:t>生产</w:t>
      </w:r>
      <w:r>
        <w:t>企业和检测机构开展</w:t>
      </w:r>
      <w:r>
        <w:rPr>
          <w:rFonts w:hint="eastAsia" w:ascii="Times New Roman" w:hAnsi="Times New Roman" w:eastAsia="宋体" w:cs="Times New Roman"/>
          <w:color w:val="auto"/>
          <w:sz w:val="21"/>
          <w:szCs w:val="21"/>
          <w:lang w:val="en-US" w:eastAsia="zh-CN"/>
        </w:rPr>
        <w:t>电池</w:t>
      </w:r>
      <w:r>
        <w:rPr>
          <w:rFonts w:hint="eastAsia" w:cs="Times New Roman"/>
          <w:color w:val="auto"/>
          <w:sz w:val="21"/>
          <w:szCs w:val="21"/>
          <w:lang w:val="en-US" w:eastAsia="zh-CN"/>
        </w:rPr>
        <w:t>管理系统</w:t>
      </w:r>
      <w:r>
        <w:t>各试验项目的可行性与必要性，保证性能要求的合理性</w:t>
      </w:r>
      <w:r>
        <w:rPr>
          <w:rFonts w:hint="eastAsia"/>
        </w:rPr>
        <w:t>。编制组</w:t>
      </w:r>
      <w:r>
        <w:t>成员与多个企业合作，</w:t>
      </w:r>
      <w:r>
        <w:rPr>
          <w:rFonts w:hint="eastAsia"/>
          <w:lang w:val="en-US" w:eastAsia="zh-CN"/>
        </w:rPr>
        <w:t>开展了相关试验。</w:t>
      </w:r>
      <w:r>
        <w:t>通过实际验证，证明了本标准中结构和功能要求、试验条件、性能要求、试验方法等内容符合实际，试验方法具有较好的可操作性和可重复性，试验要求具有科学性与合理性。</w:t>
      </w:r>
      <w:r>
        <w:br w:type="textWrapping"/>
      </w:r>
      <w:r>
        <w:t xml:space="preserve">    </w:t>
      </w:r>
      <w:r>
        <w:rPr>
          <w:rFonts w:hint="eastAsia"/>
        </w:rPr>
        <w:t>编制组</w:t>
      </w:r>
      <w:r>
        <w:t>通过充分考虑各企业实际情况，总结、提炼形成的试验方法和性能要求，进一步完善了</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管理系统性能</w:t>
      </w:r>
      <w:r>
        <w:t>要求与试验方法，使其能够更好地支撑企业产品开发，对企业和检测机构开展</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w:t>
      </w:r>
      <w:r>
        <w:t xml:space="preserve">试验相关工作给予一定程度的指导。 </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34" w:name="_Toc18913"/>
      <w:bookmarkEnd w:id="34"/>
      <w:bookmarkStart w:id="35" w:name="_Toc36212249"/>
      <w:bookmarkEnd w:id="35"/>
      <w:bookmarkStart w:id="36" w:name="_Toc15565"/>
      <w:bookmarkEnd w:id="36"/>
      <w:bookmarkStart w:id="37" w:name="_Toc28331"/>
      <w:bookmarkEnd w:id="37"/>
      <w:bookmarkStart w:id="38" w:name="_Toc26214"/>
      <w:bookmarkStart w:id="39" w:name="_Toc3160"/>
      <w:bookmarkStart w:id="40" w:name="_Toc11243"/>
      <w:bookmarkStart w:id="41" w:name="_Toc36212254"/>
      <w:r>
        <w:rPr>
          <w:rFonts w:eastAsia="黑体"/>
          <w:bCs/>
          <w:color w:val="000000"/>
          <w:kern w:val="0"/>
          <w:sz w:val="24"/>
        </w:rPr>
        <w:t>标准中涉及专利的情况</w:t>
      </w:r>
      <w:bookmarkEnd w:id="38"/>
      <w:bookmarkEnd w:id="39"/>
      <w:bookmarkEnd w:id="40"/>
      <w:bookmarkEnd w:id="41"/>
    </w:p>
    <w:p>
      <w:pPr>
        <w:spacing w:line="400" w:lineRule="exact"/>
        <w:ind w:firstLine="420"/>
        <w:jc w:val="left"/>
        <w:rPr>
          <w:szCs w:val="21"/>
        </w:rPr>
      </w:pPr>
      <w:bookmarkStart w:id="42" w:name="_Toc36212255"/>
      <w:bookmarkStart w:id="43" w:name="_Toc22509"/>
      <w:bookmarkStart w:id="44" w:name="_Toc5274"/>
      <w:bookmarkStart w:id="45" w:name="_Toc13155"/>
      <w:r>
        <w:rPr>
          <w:szCs w:val="21"/>
        </w:rPr>
        <w:t>本标准在</w:t>
      </w:r>
      <w:r>
        <w:rPr>
          <w:rFonts w:hint="eastAsia"/>
          <w:szCs w:val="21"/>
          <w:lang w:val="en-US" w:eastAsia="zh-CN"/>
        </w:rPr>
        <w:t>编制过程</w:t>
      </w:r>
      <w:r>
        <w:rPr>
          <w:szCs w:val="21"/>
        </w:rPr>
        <w:t>中不涉及专利。</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r>
        <w:rPr>
          <w:rFonts w:eastAsia="黑体"/>
          <w:bCs/>
          <w:color w:val="000000"/>
          <w:kern w:val="0"/>
          <w:sz w:val="24"/>
        </w:rPr>
        <w:t>预期达到的社会效益等情况</w:t>
      </w:r>
      <w:bookmarkEnd w:id="42"/>
      <w:bookmarkEnd w:id="43"/>
      <w:bookmarkEnd w:id="44"/>
      <w:bookmarkEnd w:id="45"/>
    </w:p>
    <w:p>
      <w:pPr>
        <w:spacing w:line="400" w:lineRule="exact"/>
        <w:ind w:firstLine="420"/>
      </w:pPr>
      <w:r>
        <w:rPr>
          <w:rFonts w:hint="eastAsia"/>
          <w:lang w:val="en-US" w:eastAsia="zh-CN"/>
        </w:rPr>
        <w:t>团体</w:t>
      </w:r>
      <w:r>
        <w:t>标准《</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w:t>
      </w:r>
      <w:r>
        <w:t>》旨在规范统一我国</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w:t>
      </w:r>
      <w:r>
        <w:rPr>
          <w:rFonts w:hint="eastAsia"/>
          <w:lang w:val="en-US" w:eastAsia="zh-CN"/>
        </w:rPr>
        <w:t>技术要求和试验方法</w:t>
      </w:r>
      <w:r>
        <w:t>。通过本标准的</w:t>
      </w:r>
      <w:r>
        <w:rPr>
          <w:rFonts w:hint="eastAsia"/>
          <w:lang w:val="en-US" w:eastAsia="zh-CN"/>
        </w:rPr>
        <w:t>编制</w:t>
      </w:r>
      <w:r>
        <w:t>，为企业和检测机构在设计制定</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用锂离子电池</w:t>
      </w:r>
      <w:r>
        <w:rPr>
          <w:rFonts w:hint="eastAsia" w:cs="Times New Roman"/>
          <w:color w:val="auto"/>
          <w:sz w:val="21"/>
          <w:szCs w:val="21"/>
          <w:lang w:val="en-US" w:eastAsia="zh-CN"/>
        </w:rPr>
        <w:t>管理系统</w:t>
      </w:r>
      <w:r>
        <w:t>试验规范或作业指导书时提供技术参考和依据，准确反应</w:t>
      </w:r>
      <w:r>
        <w:rPr>
          <w:rFonts w:hint="eastAsia"/>
          <w:lang w:val="en-US" w:eastAsia="zh-CN"/>
        </w:rPr>
        <w:t>电池管理系统</w:t>
      </w:r>
      <w:r>
        <w:t>与车辆实际使用情况的</w:t>
      </w:r>
      <w:r>
        <w:rPr>
          <w:rFonts w:hint="eastAsia"/>
          <w:lang w:val="en-US" w:eastAsia="zh-CN"/>
        </w:rPr>
        <w:t>协同</w:t>
      </w:r>
      <w:r>
        <w:t>性，帮助企业查找自身产品的问题，减少事故发生。</w:t>
      </w:r>
      <w:r>
        <w:rPr>
          <w:rFonts w:hint="eastAsia"/>
          <w:lang w:val="en-US" w:eastAsia="zh-CN"/>
        </w:rPr>
        <w:t>本标准的实施</w:t>
      </w:r>
      <w:r>
        <w:rPr>
          <w:lang w:eastAsia="zh-CN"/>
        </w:rPr>
        <w:t>可有效提高</w:t>
      </w:r>
      <w:r>
        <w:rPr>
          <w:rFonts w:hint="default" w:ascii="Times New Roman" w:hAnsi="Times New Roman" w:eastAsia="宋体" w:cs="Times New Roman"/>
          <w:color w:val="auto"/>
          <w:sz w:val="21"/>
          <w:szCs w:val="21"/>
          <w:lang w:val="en-US" w:eastAsia="zh-CN"/>
        </w:rPr>
        <w:t>电动摩托车和电动轻便摩托车</w:t>
      </w:r>
      <w:r>
        <w:rPr>
          <w:rFonts w:hint="eastAsia" w:ascii="Times New Roman" w:hAnsi="Times New Roman" w:eastAsia="宋体" w:cs="Times New Roman"/>
          <w:color w:val="auto"/>
          <w:sz w:val="21"/>
          <w:szCs w:val="21"/>
          <w:lang w:val="en-US" w:eastAsia="zh-CN"/>
        </w:rPr>
        <w:t>用锂离子</w:t>
      </w:r>
      <w:r>
        <w:rPr>
          <w:lang w:eastAsia="zh-CN"/>
        </w:rPr>
        <w:t>电池管理系统规范性、可靠性，从而有效提升车辆安全性，促进产品提质升级，推动行业健康发展，也为我国摩托车产业智能化、平台化、数字化发展奠定基础。</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46" w:name="_Toc6612"/>
      <w:bookmarkStart w:id="47" w:name="_Toc26219"/>
      <w:bookmarkStart w:id="48" w:name="_Toc36212256"/>
      <w:bookmarkStart w:id="49" w:name="_Toc4148"/>
      <w:r>
        <w:rPr>
          <w:rFonts w:eastAsia="黑体"/>
          <w:bCs/>
          <w:color w:val="000000"/>
          <w:kern w:val="0"/>
          <w:sz w:val="24"/>
        </w:rPr>
        <w:t>采用国际标准和国外先进标准的情况</w:t>
      </w:r>
      <w:bookmarkEnd w:id="46"/>
      <w:bookmarkEnd w:id="47"/>
      <w:bookmarkEnd w:id="48"/>
      <w:bookmarkEnd w:id="49"/>
    </w:p>
    <w:p>
      <w:pPr>
        <w:spacing w:line="400" w:lineRule="exact"/>
        <w:ind w:firstLine="420"/>
        <w:rPr>
          <w:rFonts w:hint="default" w:eastAsia="宋体"/>
          <w:lang w:val="en-US" w:eastAsia="zh-CN"/>
        </w:rPr>
      </w:pPr>
      <w:r>
        <w:rPr>
          <w:rFonts w:hint="eastAsia"/>
          <w:lang w:val="en-US" w:eastAsia="zh-CN"/>
        </w:rPr>
        <w:t>当前国外涉及电动摩托车和轻便摩托车用锂离子电池管理系统标准规范主要有EU 168-2013 《两轮或三轮摩托车和四轮摩托车型式认证和市场监管》与ISO 18243-2017 《电动摩托车和摩托车 - 锂离子电池系统的测试规范和安全要求》，其中涉及到电池管理系统的机械安全性能、保护功能、信息采集与监控根据国内实际情况进行整合和调整。</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50" w:name="_Toc2189"/>
      <w:bookmarkStart w:id="51" w:name="_Toc36212257"/>
      <w:bookmarkStart w:id="52" w:name="_Toc24914"/>
      <w:bookmarkStart w:id="53" w:name="_Toc10906"/>
      <w:r>
        <w:rPr>
          <w:rFonts w:eastAsia="黑体"/>
          <w:bCs/>
          <w:color w:val="000000"/>
          <w:kern w:val="0"/>
          <w:sz w:val="24"/>
        </w:rPr>
        <w:t>与现行相关法律、法规、规章及相关标准的协调性</w:t>
      </w:r>
      <w:bookmarkEnd w:id="50"/>
      <w:bookmarkEnd w:id="51"/>
      <w:bookmarkEnd w:id="52"/>
      <w:bookmarkEnd w:id="53"/>
    </w:p>
    <w:p>
      <w:pPr>
        <w:spacing w:line="400" w:lineRule="exact"/>
        <w:ind w:firstLine="420"/>
      </w:pPr>
      <w:r>
        <w:t>本标准</w:t>
      </w:r>
      <w:r>
        <w:rPr>
          <w:rFonts w:hint="eastAsia"/>
          <w:lang w:val="en-US" w:eastAsia="zh-CN"/>
        </w:rPr>
        <w:t>补充了电动摩托车和电动轻便摩托车相关标准体系，</w:t>
      </w:r>
      <w:r>
        <w:t>经分析，本标准与现行相关法律、法规、规章及相关标准无不协调之处，且贯彻了我国的有关法律、法规和强制性国家标准。</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54" w:name="_Toc36212258"/>
      <w:bookmarkStart w:id="55" w:name="_Toc1058"/>
      <w:bookmarkStart w:id="56" w:name="_Toc28014"/>
      <w:bookmarkStart w:id="57" w:name="_Toc26498"/>
      <w:r>
        <w:rPr>
          <w:rFonts w:eastAsia="黑体"/>
          <w:bCs/>
          <w:color w:val="000000"/>
          <w:kern w:val="0"/>
          <w:sz w:val="24"/>
        </w:rPr>
        <w:t>重大分歧意见的处理经过和依据</w:t>
      </w:r>
      <w:bookmarkEnd w:id="54"/>
      <w:bookmarkEnd w:id="55"/>
      <w:bookmarkEnd w:id="56"/>
      <w:bookmarkEnd w:id="57"/>
    </w:p>
    <w:p>
      <w:pPr>
        <w:spacing w:line="400" w:lineRule="exact"/>
        <w:ind w:firstLine="420"/>
        <w:jc w:val="left"/>
        <w:rPr>
          <w:rFonts w:eastAsia="黑体"/>
          <w:bCs/>
          <w:color w:val="000000"/>
          <w:kern w:val="0"/>
          <w:sz w:val="24"/>
        </w:rPr>
      </w:pPr>
      <w:r>
        <w:rPr>
          <w:szCs w:val="21"/>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58" w:name="_Toc19214"/>
      <w:bookmarkStart w:id="59" w:name="_Toc9400"/>
      <w:bookmarkStart w:id="60" w:name="_Toc15508"/>
      <w:bookmarkStart w:id="61" w:name="_Toc36212259"/>
      <w:r>
        <w:rPr>
          <w:rFonts w:eastAsia="黑体"/>
          <w:bCs/>
          <w:color w:val="000000"/>
          <w:kern w:val="0"/>
          <w:sz w:val="24"/>
        </w:rPr>
        <w:t>标准性质的建议说明</w:t>
      </w:r>
      <w:bookmarkEnd w:id="58"/>
      <w:bookmarkEnd w:id="59"/>
      <w:bookmarkEnd w:id="60"/>
    </w:p>
    <w:p>
      <w:pPr>
        <w:spacing w:line="400" w:lineRule="exact"/>
        <w:ind w:firstLine="420"/>
        <w:jc w:val="left"/>
        <w:rPr>
          <w:rFonts w:hint="eastAsia" w:eastAsia="宋体"/>
          <w:bCs/>
          <w:color w:val="000000"/>
          <w:kern w:val="0"/>
          <w:sz w:val="24"/>
          <w:lang w:eastAsia="zh-CN"/>
        </w:rPr>
      </w:pPr>
      <w:r>
        <w:rPr>
          <w:szCs w:val="21"/>
        </w:rPr>
        <w:t>本标准为</w:t>
      </w:r>
      <w:r>
        <w:rPr>
          <w:rFonts w:hint="eastAsia"/>
          <w:szCs w:val="21"/>
          <w:lang w:val="en-US" w:eastAsia="zh-CN"/>
        </w:rPr>
        <w:t>中国摩托车商会标准，属于团体</w:t>
      </w:r>
      <w:r>
        <w:rPr>
          <w:szCs w:val="21"/>
        </w:rPr>
        <w:t>标准</w:t>
      </w:r>
      <w:r>
        <w:rPr>
          <w:rFonts w:hint="eastAsia"/>
          <w:szCs w:val="21"/>
          <w:lang w:eastAsia="zh-CN"/>
        </w:rPr>
        <w:t>，</w:t>
      </w:r>
      <w:r>
        <w:rPr>
          <w:rFonts w:hint="eastAsia" w:ascii="宋体" w:hAnsi="宋体"/>
          <w:szCs w:val="21"/>
        </w:rPr>
        <w:t>供</w:t>
      </w:r>
      <w:r>
        <w:rPr>
          <w:rFonts w:hint="eastAsia" w:ascii="宋体" w:hAnsi="宋体"/>
          <w:szCs w:val="21"/>
          <w:lang w:val="en-US" w:eastAsia="zh-CN"/>
        </w:rPr>
        <w:t>商会成员</w:t>
      </w:r>
      <w:r>
        <w:rPr>
          <w:rFonts w:hint="eastAsia" w:ascii="宋体" w:hAnsi="宋体"/>
          <w:szCs w:val="21"/>
        </w:rPr>
        <w:t>和社会自愿使用</w:t>
      </w:r>
      <w:r>
        <w:rPr>
          <w:rFonts w:hint="eastAsia" w:ascii="宋体" w:hAnsi="宋体"/>
          <w:szCs w:val="21"/>
          <w:lang w:eastAsia="zh-CN"/>
        </w:rPr>
        <w:t>。</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62" w:name="_Toc30433"/>
      <w:bookmarkStart w:id="63" w:name="_Toc1384"/>
      <w:bookmarkStart w:id="64" w:name="_Toc22991"/>
      <w:r>
        <w:rPr>
          <w:rFonts w:eastAsia="黑体"/>
          <w:bCs/>
          <w:color w:val="000000"/>
          <w:kern w:val="0"/>
          <w:sz w:val="24"/>
        </w:rPr>
        <w:t>贯彻标准的要求和措施建议</w:t>
      </w:r>
      <w:bookmarkEnd w:id="61"/>
      <w:bookmarkEnd w:id="62"/>
      <w:bookmarkEnd w:id="63"/>
      <w:bookmarkEnd w:id="64"/>
    </w:p>
    <w:p>
      <w:pPr>
        <w:spacing w:line="400" w:lineRule="exact"/>
        <w:ind w:firstLine="0" w:firstLineChars="0"/>
        <w:rPr>
          <w:rFonts w:hint="eastAsia" w:eastAsia="宋体"/>
          <w:lang w:val="en-US" w:eastAsia="zh-CN"/>
        </w:rPr>
      </w:pPr>
      <w:r>
        <w:rPr>
          <w:rFonts w:hint="eastAsia"/>
          <w:lang w:val="en-US" w:eastAsia="zh-CN"/>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73" w:name="_GoBack"/>
      <w:bookmarkEnd w:id="73"/>
      <w:bookmarkStart w:id="65" w:name="_Toc2604"/>
      <w:bookmarkStart w:id="66" w:name="_Toc10451"/>
      <w:bookmarkStart w:id="67" w:name="_Toc26287"/>
      <w:bookmarkStart w:id="68" w:name="_Toc36212260"/>
      <w:r>
        <w:rPr>
          <w:rFonts w:eastAsia="黑体"/>
          <w:bCs/>
          <w:color w:val="000000"/>
          <w:kern w:val="0"/>
          <w:sz w:val="24"/>
        </w:rPr>
        <w:t>废止现行相关标准的建议</w:t>
      </w:r>
      <w:bookmarkEnd w:id="65"/>
      <w:bookmarkEnd w:id="66"/>
      <w:bookmarkEnd w:id="67"/>
      <w:bookmarkEnd w:id="68"/>
    </w:p>
    <w:p>
      <w:pPr>
        <w:numPr>
          <w:ilvl w:val="0"/>
          <w:numId w:val="0"/>
        </w:numPr>
        <w:autoSpaceDE w:val="0"/>
        <w:autoSpaceDN w:val="0"/>
        <w:adjustRightInd w:val="0"/>
        <w:spacing w:before="156" w:beforeLines="50" w:after="156" w:afterLines="50" w:line="400" w:lineRule="exact"/>
        <w:ind w:leftChars="0"/>
        <w:jc w:val="left"/>
        <w:outlineLvl w:val="0"/>
        <w:rPr>
          <w:rFonts w:hint="default" w:eastAsia="黑体"/>
          <w:bCs/>
          <w:color w:val="000000"/>
          <w:kern w:val="0"/>
          <w:sz w:val="24"/>
          <w:lang w:val="en-US" w:eastAsia="zh-CN"/>
        </w:rPr>
      </w:pPr>
      <w:r>
        <w:rPr>
          <w:rFonts w:hint="eastAsia" w:eastAsia="黑体"/>
          <w:bCs/>
          <w:color w:val="000000"/>
          <w:kern w:val="0"/>
          <w:sz w:val="24"/>
          <w:lang w:val="en-US" w:eastAsia="zh-CN"/>
        </w:rPr>
        <w:t xml:space="preserve">   </w:t>
      </w:r>
      <w:r>
        <w:rPr>
          <w:rFonts w:hint="eastAsia" w:ascii="宋体" w:hAnsi="宋体" w:eastAsia="宋体" w:cs="宋体"/>
          <w:bCs/>
          <w:color w:val="000000"/>
          <w:kern w:val="0"/>
          <w:sz w:val="21"/>
          <w:szCs w:val="21"/>
          <w:lang w:val="en-US" w:eastAsia="zh-CN"/>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eastAsia="黑体"/>
          <w:bCs/>
          <w:color w:val="000000"/>
          <w:kern w:val="0"/>
          <w:sz w:val="24"/>
        </w:rPr>
      </w:pPr>
      <w:bookmarkStart w:id="69" w:name="_Toc36212261"/>
      <w:bookmarkStart w:id="70" w:name="_Toc7527"/>
      <w:bookmarkStart w:id="71" w:name="_Toc5027"/>
      <w:bookmarkStart w:id="72" w:name="_Toc6340"/>
      <w:r>
        <w:rPr>
          <w:rFonts w:eastAsia="黑体"/>
          <w:bCs/>
          <w:color w:val="000000"/>
          <w:kern w:val="0"/>
          <w:sz w:val="24"/>
        </w:rPr>
        <w:t>其他应予说明的事项</w:t>
      </w:r>
      <w:bookmarkEnd w:id="69"/>
      <w:bookmarkEnd w:id="70"/>
      <w:bookmarkEnd w:id="71"/>
      <w:bookmarkEnd w:id="72"/>
    </w:p>
    <w:bookmarkEnd w:id="26"/>
    <w:p>
      <w:pPr>
        <w:spacing w:line="400" w:lineRule="exact"/>
        <w:ind w:firstLine="420"/>
        <w:rPr>
          <w:rFonts w:hint="default" w:ascii="宋体" w:hAnsi="宋体" w:cs="宋体"/>
          <w:lang w:val="en-US" w:eastAsia="zh-CN"/>
        </w:rPr>
      </w:pPr>
      <w:r>
        <w:rPr>
          <w:rFonts w:hint="eastAsia" w:ascii="宋体" w:hAnsi="宋体" w:cs="宋体"/>
          <w:lang w:val="en-US" w:eastAsia="zh-CN"/>
        </w:rPr>
        <w:t>无</w:t>
      </w:r>
    </w:p>
    <w:sectPr>
      <w:headerReference r:id="rId12" w:type="first"/>
      <w:footerReference r:id="rId14" w:type="first"/>
      <w:headerReference r:id="rId11" w:type="default"/>
      <w:footerReference r:id="rId13"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w:t>
    </w:r>
    <w:r>
      <w:t>电动摩托车和电动轻便摩托车用锂离子电池管理系统</w:t>
    </w:r>
    <w:r>
      <w:rPr>
        <w:rFonts w:hint="eastAsia"/>
      </w:rPr>
      <w:t>》（</w:t>
    </w:r>
    <w:r>
      <w:rPr>
        <w:rFonts w:hint="eastAsia"/>
        <w:lang w:val="en-US" w:eastAsia="zh-CN"/>
      </w:rPr>
      <w:t>征求意见</w:t>
    </w:r>
    <w:r>
      <w:rPr>
        <w:rFonts w:hint="eastAsia"/>
      </w:rPr>
      <w:t>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w:t>
    </w:r>
    <w:r>
      <w:t>电动摩托车和电动轻便摩托车用锂离子电池管理系统</w:t>
    </w:r>
    <w:r>
      <w:rPr>
        <w:rFonts w:hint="eastAsia"/>
      </w:rPr>
      <w:t>》（</w:t>
    </w:r>
    <w:r>
      <w:rPr>
        <w:rFonts w:hint="eastAsia"/>
        <w:lang w:val="en-US" w:eastAsia="zh-CN"/>
      </w:rPr>
      <w:t>征求意见</w:t>
    </w:r>
    <w:r>
      <w:rPr>
        <w:rFonts w:hint="eastAsia"/>
      </w:rPr>
      <w:t>稿）编制说明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w:t>
    </w:r>
    <w:r>
      <w:t>电动摩托车和电动轻便摩托车用锂离子电池管理系统</w:t>
    </w:r>
    <w:r>
      <w:rPr>
        <w:rFonts w:hint="eastAsia"/>
      </w:rPr>
      <w:t>》（</w:t>
    </w:r>
    <w:r>
      <w:rPr>
        <w:rFonts w:hint="eastAsia"/>
        <w:lang w:val="en-US" w:eastAsia="zh-CN"/>
      </w:rPr>
      <w:t>征求意见</w:t>
    </w:r>
    <w:r>
      <w:rPr>
        <w:rFonts w:hint="eastAsia"/>
      </w:rPr>
      <w:t>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26"/>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0"/>
      <w:suff w:val="nothing"/>
      <w:lvlText w:val="%1%2.%3.%4　"/>
      <w:lvlJc w:val="left"/>
      <w:pPr>
        <w:ind w:left="0" w:firstLine="0"/>
      </w:pPr>
      <w:rPr>
        <w:rFonts w:hint="eastAsia" w:ascii="黑体" w:eastAsia="黑体"/>
        <w:b w:val="0"/>
        <w:i w:val="0"/>
        <w:sz w:val="21"/>
      </w:rPr>
    </w:lvl>
    <w:lvl w:ilvl="4" w:tentative="0">
      <w:start w:val="1"/>
      <w:numFmt w:val="decimal"/>
      <w:pStyle w:val="21"/>
      <w:suff w:val="nothing"/>
      <w:lvlText w:val="%1%2.%3.%4.%5　"/>
      <w:lvlJc w:val="left"/>
      <w:pPr>
        <w:ind w:left="0" w:firstLine="0"/>
      </w:pPr>
      <w:rPr>
        <w:rFonts w:hint="eastAsia" w:ascii="黑体" w:eastAsia="黑体"/>
        <w:b w:val="0"/>
        <w:i w:val="0"/>
        <w:sz w:val="21"/>
      </w:rPr>
    </w:lvl>
    <w:lvl w:ilvl="5" w:tentative="0">
      <w:start w:val="1"/>
      <w:numFmt w:val="decimal"/>
      <w:pStyle w:val="22"/>
      <w:suff w:val="nothing"/>
      <w:lvlText w:val="%1%2.%3.%4.%5.%6　"/>
      <w:lvlJc w:val="left"/>
      <w:pPr>
        <w:ind w:left="0" w:firstLine="0"/>
      </w:pPr>
      <w:rPr>
        <w:rFonts w:hint="eastAsia" w:ascii="黑体" w:eastAsia="黑体"/>
        <w:b w:val="0"/>
        <w:i w:val="0"/>
        <w:sz w:val="21"/>
      </w:rPr>
    </w:lvl>
    <w:lvl w:ilvl="6" w:tentative="0">
      <w:start w:val="1"/>
      <w:numFmt w:val="decimal"/>
      <w:pStyle w:val="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892845"/>
    <w:rsid w:val="00007FA2"/>
    <w:rsid w:val="000639F2"/>
    <w:rsid w:val="000C2595"/>
    <w:rsid w:val="000D703A"/>
    <w:rsid w:val="000E2ACA"/>
    <w:rsid w:val="001029CD"/>
    <w:rsid w:val="00127397"/>
    <w:rsid w:val="00167B0A"/>
    <w:rsid w:val="0017519D"/>
    <w:rsid w:val="001877F4"/>
    <w:rsid w:val="001A2F11"/>
    <w:rsid w:val="001B423D"/>
    <w:rsid w:val="002245DB"/>
    <w:rsid w:val="00231E50"/>
    <w:rsid w:val="00245B6C"/>
    <w:rsid w:val="00260138"/>
    <w:rsid w:val="00280CC2"/>
    <w:rsid w:val="002B11D3"/>
    <w:rsid w:val="002D213A"/>
    <w:rsid w:val="002F2D31"/>
    <w:rsid w:val="00320C99"/>
    <w:rsid w:val="00334233"/>
    <w:rsid w:val="00383B72"/>
    <w:rsid w:val="003B789B"/>
    <w:rsid w:val="003C407F"/>
    <w:rsid w:val="003D704D"/>
    <w:rsid w:val="003E67B8"/>
    <w:rsid w:val="0042704C"/>
    <w:rsid w:val="00455AB9"/>
    <w:rsid w:val="004603C7"/>
    <w:rsid w:val="00491213"/>
    <w:rsid w:val="004B4A79"/>
    <w:rsid w:val="005055DA"/>
    <w:rsid w:val="00561B0C"/>
    <w:rsid w:val="005866FA"/>
    <w:rsid w:val="005B19DC"/>
    <w:rsid w:val="005B49BF"/>
    <w:rsid w:val="005D0F2E"/>
    <w:rsid w:val="005D5E23"/>
    <w:rsid w:val="005E0154"/>
    <w:rsid w:val="005E5508"/>
    <w:rsid w:val="005F1ACA"/>
    <w:rsid w:val="005F373D"/>
    <w:rsid w:val="005F3AFA"/>
    <w:rsid w:val="006155E1"/>
    <w:rsid w:val="00617E32"/>
    <w:rsid w:val="0068575E"/>
    <w:rsid w:val="006A679D"/>
    <w:rsid w:val="006D45FE"/>
    <w:rsid w:val="006E3C5F"/>
    <w:rsid w:val="00705B04"/>
    <w:rsid w:val="007113D3"/>
    <w:rsid w:val="0075408A"/>
    <w:rsid w:val="00755200"/>
    <w:rsid w:val="007732B5"/>
    <w:rsid w:val="00775134"/>
    <w:rsid w:val="00776C0C"/>
    <w:rsid w:val="00793C17"/>
    <w:rsid w:val="007A1AF3"/>
    <w:rsid w:val="007C129F"/>
    <w:rsid w:val="007C1A9E"/>
    <w:rsid w:val="007C74F3"/>
    <w:rsid w:val="007F3B80"/>
    <w:rsid w:val="008045A0"/>
    <w:rsid w:val="00810947"/>
    <w:rsid w:val="008150AC"/>
    <w:rsid w:val="00820218"/>
    <w:rsid w:val="008218B4"/>
    <w:rsid w:val="00841A6D"/>
    <w:rsid w:val="00845030"/>
    <w:rsid w:val="00853936"/>
    <w:rsid w:val="008625C8"/>
    <w:rsid w:val="00862D0C"/>
    <w:rsid w:val="00863DEB"/>
    <w:rsid w:val="008748F4"/>
    <w:rsid w:val="00892845"/>
    <w:rsid w:val="008C09FD"/>
    <w:rsid w:val="008C6BF1"/>
    <w:rsid w:val="008D125C"/>
    <w:rsid w:val="008E12FC"/>
    <w:rsid w:val="008E4F7C"/>
    <w:rsid w:val="009155AA"/>
    <w:rsid w:val="00917825"/>
    <w:rsid w:val="00936F8C"/>
    <w:rsid w:val="00945A8E"/>
    <w:rsid w:val="00945B03"/>
    <w:rsid w:val="0095309D"/>
    <w:rsid w:val="009535F8"/>
    <w:rsid w:val="009656D2"/>
    <w:rsid w:val="00984FDB"/>
    <w:rsid w:val="009C1452"/>
    <w:rsid w:val="00A35378"/>
    <w:rsid w:val="00A62468"/>
    <w:rsid w:val="00A8656F"/>
    <w:rsid w:val="00AB5517"/>
    <w:rsid w:val="00B1292A"/>
    <w:rsid w:val="00B8634E"/>
    <w:rsid w:val="00BD0B38"/>
    <w:rsid w:val="00C05376"/>
    <w:rsid w:val="00C15BA0"/>
    <w:rsid w:val="00C20F4F"/>
    <w:rsid w:val="00C6179D"/>
    <w:rsid w:val="00C65C8B"/>
    <w:rsid w:val="00CB2BCB"/>
    <w:rsid w:val="00CB44F6"/>
    <w:rsid w:val="00CE5549"/>
    <w:rsid w:val="00CE713A"/>
    <w:rsid w:val="00CF6310"/>
    <w:rsid w:val="00D1578C"/>
    <w:rsid w:val="00D2752D"/>
    <w:rsid w:val="00D44BA1"/>
    <w:rsid w:val="00D65427"/>
    <w:rsid w:val="00D9132F"/>
    <w:rsid w:val="00DC0790"/>
    <w:rsid w:val="00DC5AB8"/>
    <w:rsid w:val="00DD4C1A"/>
    <w:rsid w:val="00DE7E65"/>
    <w:rsid w:val="00E6146E"/>
    <w:rsid w:val="00E85E86"/>
    <w:rsid w:val="00EA147F"/>
    <w:rsid w:val="00EB3970"/>
    <w:rsid w:val="00EC2AF4"/>
    <w:rsid w:val="00ED5E3E"/>
    <w:rsid w:val="00EF600F"/>
    <w:rsid w:val="00F717C1"/>
    <w:rsid w:val="00F81F2F"/>
    <w:rsid w:val="00FC37FE"/>
    <w:rsid w:val="00FD7F1C"/>
    <w:rsid w:val="0132754D"/>
    <w:rsid w:val="01935784"/>
    <w:rsid w:val="01FC47B4"/>
    <w:rsid w:val="03BB0352"/>
    <w:rsid w:val="042A3F09"/>
    <w:rsid w:val="056B4B16"/>
    <w:rsid w:val="056D375A"/>
    <w:rsid w:val="05DC1451"/>
    <w:rsid w:val="0644507D"/>
    <w:rsid w:val="07457630"/>
    <w:rsid w:val="076A70A1"/>
    <w:rsid w:val="07976995"/>
    <w:rsid w:val="07AE4C0F"/>
    <w:rsid w:val="09010A62"/>
    <w:rsid w:val="09835762"/>
    <w:rsid w:val="0A524056"/>
    <w:rsid w:val="0AD3384D"/>
    <w:rsid w:val="0BBF246A"/>
    <w:rsid w:val="0D0C43CC"/>
    <w:rsid w:val="0E336252"/>
    <w:rsid w:val="0F16079E"/>
    <w:rsid w:val="115E7E27"/>
    <w:rsid w:val="134B1222"/>
    <w:rsid w:val="1399374C"/>
    <w:rsid w:val="13B36FAE"/>
    <w:rsid w:val="14072974"/>
    <w:rsid w:val="143363D6"/>
    <w:rsid w:val="14910418"/>
    <w:rsid w:val="15293DCB"/>
    <w:rsid w:val="15C060D2"/>
    <w:rsid w:val="172F4AF3"/>
    <w:rsid w:val="189C4E19"/>
    <w:rsid w:val="190406EA"/>
    <w:rsid w:val="1AAB37CF"/>
    <w:rsid w:val="1BC054B2"/>
    <w:rsid w:val="1CA663C0"/>
    <w:rsid w:val="1CF32D33"/>
    <w:rsid w:val="1EEB13F9"/>
    <w:rsid w:val="1F8E1CB4"/>
    <w:rsid w:val="1FB65CCD"/>
    <w:rsid w:val="21BA2C5F"/>
    <w:rsid w:val="21C251FE"/>
    <w:rsid w:val="21F4671D"/>
    <w:rsid w:val="229869CE"/>
    <w:rsid w:val="23EF35A5"/>
    <w:rsid w:val="24A25436"/>
    <w:rsid w:val="24E8008F"/>
    <w:rsid w:val="280738D9"/>
    <w:rsid w:val="28AD5878"/>
    <w:rsid w:val="28C130D1"/>
    <w:rsid w:val="28F01B4A"/>
    <w:rsid w:val="295757E3"/>
    <w:rsid w:val="29EE19D4"/>
    <w:rsid w:val="2A3D6116"/>
    <w:rsid w:val="2B303AD8"/>
    <w:rsid w:val="2BA6531A"/>
    <w:rsid w:val="2BD8384C"/>
    <w:rsid w:val="2DCC1BCF"/>
    <w:rsid w:val="2E7F19FE"/>
    <w:rsid w:val="2ECA3A82"/>
    <w:rsid w:val="2EE10029"/>
    <w:rsid w:val="30622638"/>
    <w:rsid w:val="3095731D"/>
    <w:rsid w:val="317D03F5"/>
    <w:rsid w:val="33542634"/>
    <w:rsid w:val="33995E23"/>
    <w:rsid w:val="34141B99"/>
    <w:rsid w:val="348C2D38"/>
    <w:rsid w:val="348E6D50"/>
    <w:rsid w:val="358050F9"/>
    <w:rsid w:val="35AA1AF6"/>
    <w:rsid w:val="368B33B9"/>
    <w:rsid w:val="394A036E"/>
    <w:rsid w:val="39F12A78"/>
    <w:rsid w:val="39F42601"/>
    <w:rsid w:val="3AA124BC"/>
    <w:rsid w:val="3C8A121D"/>
    <w:rsid w:val="3D0C7481"/>
    <w:rsid w:val="3D39018C"/>
    <w:rsid w:val="3DBF7BCB"/>
    <w:rsid w:val="3F625DA9"/>
    <w:rsid w:val="3F631ABF"/>
    <w:rsid w:val="3FAD28FF"/>
    <w:rsid w:val="3FDD5125"/>
    <w:rsid w:val="401F0324"/>
    <w:rsid w:val="403A3A3D"/>
    <w:rsid w:val="409D42E8"/>
    <w:rsid w:val="41452B70"/>
    <w:rsid w:val="43707776"/>
    <w:rsid w:val="438A6DA4"/>
    <w:rsid w:val="4573782D"/>
    <w:rsid w:val="47C50090"/>
    <w:rsid w:val="47D827AB"/>
    <w:rsid w:val="48025FB2"/>
    <w:rsid w:val="48AF2AEE"/>
    <w:rsid w:val="48FA1FBB"/>
    <w:rsid w:val="4A1F1DC6"/>
    <w:rsid w:val="4A61726A"/>
    <w:rsid w:val="4AAC08E5"/>
    <w:rsid w:val="4CE13D39"/>
    <w:rsid w:val="4D7333EC"/>
    <w:rsid w:val="4D8929FB"/>
    <w:rsid w:val="4DAE0BF2"/>
    <w:rsid w:val="4DB00C67"/>
    <w:rsid w:val="4DCC7632"/>
    <w:rsid w:val="4E831CD6"/>
    <w:rsid w:val="4EB4763C"/>
    <w:rsid w:val="517C4350"/>
    <w:rsid w:val="526410F4"/>
    <w:rsid w:val="52855BEB"/>
    <w:rsid w:val="54434596"/>
    <w:rsid w:val="54A2083E"/>
    <w:rsid w:val="54B679A9"/>
    <w:rsid w:val="54B75204"/>
    <w:rsid w:val="54E65528"/>
    <w:rsid w:val="552547E5"/>
    <w:rsid w:val="55F93CD7"/>
    <w:rsid w:val="562F528E"/>
    <w:rsid w:val="565D6C48"/>
    <w:rsid w:val="566B27B9"/>
    <w:rsid w:val="56B00A41"/>
    <w:rsid w:val="575B7A9F"/>
    <w:rsid w:val="590D3EA1"/>
    <w:rsid w:val="5A1740EF"/>
    <w:rsid w:val="5A6E0A5B"/>
    <w:rsid w:val="5AF15170"/>
    <w:rsid w:val="5B7B35B0"/>
    <w:rsid w:val="5BFA5736"/>
    <w:rsid w:val="5C0A475A"/>
    <w:rsid w:val="5CEE0707"/>
    <w:rsid w:val="5D945817"/>
    <w:rsid w:val="5DC45291"/>
    <w:rsid w:val="5E7B72A3"/>
    <w:rsid w:val="5EFA2437"/>
    <w:rsid w:val="5FE90E48"/>
    <w:rsid w:val="605E6679"/>
    <w:rsid w:val="60702B4B"/>
    <w:rsid w:val="60EB0815"/>
    <w:rsid w:val="61C42406"/>
    <w:rsid w:val="63DB04DC"/>
    <w:rsid w:val="63F30725"/>
    <w:rsid w:val="63F87046"/>
    <w:rsid w:val="640B33F4"/>
    <w:rsid w:val="64EE7CFB"/>
    <w:rsid w:val="65130235"/>
    <w:rsid w:val="66E668F4"/>
    <w:rsid w:val="66F01C71"/>
    <w:rsid w:val="672D533D"/>
    <w:rsid w:val="67A015CF"/>
    <w:rsid w:val="696461D8"/>
    <w:rsid w:val="6973756F"/>
    <w:rsid w:val="697700BA"/>
    <w:rsid w:val="6A4964A7"/>
    <w:rsid w:val="6A943BA0"/>
    <w:rsid w:val="6B1B790F"/>
    <w:rsid w:val="6B551ED4"/>
    <w:rsid w:val="6D5F4DF9"/>
    <w:rsid w:val="6D6C04D0"/>
    <w:rsid w:val="6E2F0AC8"/>
    <w:rsid w:val="6EC93359"/>
    <w:rsid w:val="6FE7030C"/>
    <w:rsid w:val="6FFB0243"/>
    <w:rsid w:val="70C312E9"/>
    <w:rsid w:val="71E7397C"/>
    <w:rsid w:val="72020A68"/>
    <w:rsid w:val="724A0A31"/>
    <w:rsid w:val="73045661"/>
    <w:rsid w:val="75C92AC7"/>
    <w:rsid w:val="763B6198"/>
    <w:rsid w:val="76DD077E"/>
    <w:rsid w:val="780700FC"/>
    <w:rsid w:val="781001B9"/>
    <w:rsid w:val="78657FD8"/>
    <w:rsid w:val="794C115D"/>
    <w:rsid w:val="796D37F8"/>
    <w:rsid w:val="79EC7CE8"/>
    <w:rsid w:val="7A20567B"/>
    <w:rsid w:val="7A3B6881"/>
    <w:rsid w:val="7C596F64"/>
    <w:rsid w:val="7C5A1FD9"/>
    <w:rsid w:val="7D036989"/>
    <w:rsid w:val="7D562B61"/>
    <w:rsid w:val="7DA30D3C"/>
    <w:rsid w:val="7DC0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标题 1 字符"/>
    <w:basedOn w:val="7"/>
    <w:link w:val="2"/>
    <w:autoRedefine/>
    <w:qFormat/>
    <w:uiPriority w:val="9"/>
    <w:rPr>
      <w:rFonts w:ascii="Times New Roman" w:hAnsi="Times New Roman" w:eastAsia="宋体" w:cs="Times New Roman"/>
      <w:b/>
      <w:bCs/>
      <w:kern w:val="44"/>
      <w:sz w:val="44"/>
      <w:szCs w:val="44"/>
    </w:rPr>
  </w:style>
  <w:style w:type="paragraph" w:customStyle="1" w:styleId="13">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4">
    <w:name w:val="Body text|1"/>
    <w:basedOn w:val="1"/>
    <w:autoRedefine/>
    <w:qFormat/>
    <w:uiPriority w:val="0"/>
    <w:pPr>
      <w:spacing w:line="348" w:lineRule="auto"/>
    </w:pPr>
    <w:rPr>
      <w:rFonts w:ascii="宋体" w:hAnsi="宋体" w:cs="宋体"/>
      <w:color w:val="635A5E"/>
      <w:sz w:val="19"/>
      <w:szCs w:val="19"/>
      <w:lang w:val="zh-TW" w:eastAsia="zh-TW" w:bidi="zh-TW"/>
    </w:rPr>
  </w:style>
  <w:style w:type="character" w:customStyle="1" w:styleId="15">
    <w:name w:val="fontstyle11"/>
    <w:basedOn w:val="7"/>
    <w:autoRedefine/>
    <w:qFormat/>
    <w:uiPriority w:val="0"/>
    <w:rPr>
      <w:rFonts w:ascii="TimesNewRomanPSMT" w:hAnsi="TimesNewRomanPSMT" w:eastAsia="TimesNewRomanPSMT" w:cs="TimesNewRomanPSMT"/>
      <w:color w:val="000000"/>
      <w:sz w:val="22"/>
      <w:szCs w:val="22"/>
    </w:rPr>
  </w:style>
  <w:style w:type="character" w:customStyle="1" w:styleId="16">
    <w:name w:val="fontstyle01"/>
    <w:basedOn w:val="7"/>
    <w:autoRedefine/>
    <w:qFormat/>
    <w:uiPriority w:val="0"/>
    <w:rPr>
      <w:rFonts w:ascii="宋体" w:hAnsi="宋体" w:eastAsia="宋体" w:cs="宋体"/>
      <w:color w:val="000000"/>
      <w:sz w:val="22"/>
      <w:szCs w:val="22"/>
    </w:rPr>
  </w:style>
  <w:style w:type="paragraph" w:styleId="17">
    <w:name w:val="List Paragraph"/>
    <w:basedOn w:val="1"/>
    <w:autoRedefine/>
    <w:unhideWhenUsed/>
    <w:qFormat/>
    <w:uiPriority w:val="99"/>
    <w:pPr>
      <w:ind w:firstLine="420"/>
    </w:pPr>
  </w:style>
  <w:style w:type="paragraph" w:customStyle="1" w:styleId="18">
    <w:name w:val="标准文件_段"/>
    <w:link w:val="1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autoRedefine/>
    <w:qFormat/>
    <w:uiPriority w:val="0"/>
    <w:rPr>
      <w:rFonts w:ascii="宋体"/>
      <w:sz w:val="21"/>
    </w:rPr>
  </w:style>
  <w:style w:type="paragraph" w:customStyle="1" w:styleId="20">
    <w:name w:val="标准文件_二级条标题"/>
    <w:next w:val="18"/>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1">
    <w:name w:val="标准文件_三级条标题"/>
    <w:basedOn w:val="20"/>
    <w:next w:val="18"/>
    <w:autoRedefine/>
    <w:qFormat/>
    <w:uiPriority w:val="0"/>
    <w:pPr>
      <w:widowControl/>
      <w:numPr>
        <w:ilvl w:val="4"/>
      </w:numPr>
      <w:outlineLvl w:val="3"/>
    </w:pPr>
  </w:style>
  <w:style w:type="paragraph" w:customStyle="1" w:styleId="22">
    <w:name w:val="标准文件_四级条标题"/>
    <w:next w:val="18"/>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3">
    <w:name w:val="标准文件_五级条标题"/>
    <w:next w:val="18"/>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4">
    <w:name w:val="标准文件_章标题"/>
    <w:next w:val="18"/>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18"/>
    <w:autoRedefine/>
    <w:qFormat/>
    <w:uiPriority w:val="0"/>
    <w:pPr>
      <w:numPr>
        <w:ilvl w:val="2"/>
      </w:numPr>
      <w:spacing w:before="50" w:beforeLines="50" w:after="50" w:afterLines="50"/>
      <w:outlineLvl w:val="1"/>
    </w:pPr>
  </w:style>
  <w:style w:type="paragraph" w:customStyle="1" w:styleId="26">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7">
    <w:name w:val="标准文件_四级无标题"/>
    <w:basedOn w:val="22"/>
    <w:autoRedefine/>
    <w:qFormat/>
    <w:uiPriority w:val="0"/>
    <w:pPr>
      <w:spacing w:before="0" w:beforeLines="0" w:after="0" w:afterLines="0"/>
      <w:outlineLvl w:val="9"/>
    </w:pPr>
    <w:rPr>
      <w:rFonts w:ascii="宋体" w:hAnsi="黑体" w:eastAsia="宋体"/>
      <w:szCs w:val="52"/>
    </w:rPr>
  </w:style>
  <w:style w:type="paragraph" w:customStyle="1" w:styleId="28">
    <w:name w:val="纯文本1"/>
    <w:basedOn w:val="1"/>
    <w:autoRedefine/>
    <w:qFormat/>
    <w:uiPriority w:val="0"/>
    <w:rPr>
      <w:rFonts w:ascii="宋体" w:hAnsi="Courier New" w:eastAsia="PMingLiU" w:cs="Courier New"/>
      <w:sz w:val="24"/>
      <w:szCs w:val="21"/>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6924</Words>
  <Characters>7208</Characters>
  <Lines>60</Lines>
  <Paragraphs>16</Paragraphs>
  <TotalTime>193</TotalTime>
  <ScaleCrop>false</ScaleCrop>
  <LinksUpToDate>false</LinksUpToDate>
  <CharactersWithSpaces>7266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2023-08-07T15:02:00Z</dcterms:created>
  <dc:creator>李云伟</dc:creator>
  <cp:lastModifiedBy>Zz</cp:lastModifiedBy>
  <dcterms:modified xsi:type="dcterms:W3CDTF">2024-02-29T01:15:12Z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27AF60B64B5048F3B40FE41700592B9E</vt:lpwstr>
  </property>
  <property fmtid="{D5CDD505-2E9C-101B-9397-08002B2CF9AE}" pid="4" name="_DocHome">
    <vt:i4>125291556</vt:i4>
  </property>
</Properties>
</file>