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78061">
      <w:pPr>
        <w:pStyle w:val="13"/>
        <w:rPr>
          <w:rFonts w:ascii="Times New Roman" w:cs="Times New Roman"/>
        </w:rPr>
      </w:pPr>
      <w:bookmarkStart w:id="0" w:name="_Hlk64896309"/>
    </w:p>
    <w:p w14:paraId="479EAF58">
      <w:pPr>
        <w:pStyle w:val="13"/>
        <w:tabs>
          <w:tab w:val="left" w:pos="2742"/>
        </w:tabs>
        <w:spacing w:line="480" w:lineRule="auto"/>
        <w:rPr>
          <w:rFonts w:ascii="Times New Roman" w:cs="Times New Roman"/>
          <w:sz w:val="44"/>
          <w:szCs w:val="44"/>
        </w:rPr>
      </w:pPr>
      <w:r>
        <w:rPr>
          <w:rFonts w:ascii="Times New Roman" w:cs="Times New Roman"/>
          <w:sz w:val="44"/>
          <w:szCs w:val="44"/>
        </w:rPr>
        <w:tab/>
      </w:r>
    </w:p>
    <w:p w14:paraId="2F6DD92B">
      <w:pPr>
        <w:pStyle w:val="13"/>
        <w:tabs>
          <w:tab w:val="left" w:pos="2742"/>
        </w:tabs>
        <w:spacing w:line="480" w:lineRule="auto"/>
        <w:rPr>
          <w:rFonts w:ascii="Times New Roman" w:cs="Times New Roman"/>
          <w:sz w:val="44"/>
          <w:szCs w:val="44"/>
        </w:rPr>
      </w:pPr>
    </w:p>
    <w:p w14:paraId="18AA4B19">
      <w:pPr>
        <w:pStyle w:val="13"/>
        <w:spacing w:line="480" w:lineRule="auto"/>
        <w:rPr>
          <w:rFonts w:ascii="Times New Roman" w:cs="Times New Roman"/>
          <w:sz w:val="44"/>
          <w:szCs w:val="44"/>
        </w:rPr>
      </w:pPr>
    </w:p>
    <w:p w14:paraId="3F23EA97">
      <w:pPr>
        <w:pStyle w:val="13"/>
        <w:spacing w:line="480" w:lineRule="auto"/>
        <w:jc w:val="center"/>
        <w:rPr>
          <w:rFonts w:ascii="Times New Roman" w:eastAsia="黑体" w:cs="Times New Roman"/>
          <w:sz w:val="52"/>
          <w:szCs w:val="52"/>
        </w:rPr>
      </w:pPr>
      <w:r>
        <w:rPr>
          <w:rFonts w:hint="eastAsia" w:ascii="Times New Roman" w:eastAsia="黑体" w:cs="Times New Roman"/>
          <w:sz w:val="52"/>
          <w:szCs w:val="52"/>
          <w:lang w:val="en-US" w:eastAsia="zh-CN"/>
        </w:rPr>
        <w:t>团体</w:t>
      </w:r>
      <w:r>
        <w:rPr>
          <w:rFonts w:ascii="Times New Roman" w:eastAsia="黑体" w:cs="Times New Roman"/>
          <w:sz w:val="52"/>
          <w:szCs w:val="52"/>
        </w:rPr>
        <w:t>标准</w:t>
      </w:r>
    </w:p>
    <w:p w14:paraId="28D13823">
      <w:pPr>
        <w:pStyle w:val="13"/>
        <w:spacing w:line="480" w:lineRule="auto"/>
        <w:jc w:val="center"/>
        <w:rPr>
          <w:rFonts w:ascii="Times New Roman" w:eastAsia="黑体" w:cs="Times New Roman"/>
          <w:sz w:val="52"/>
          <w:szCs w:val="52"/>
        </w:rPr>
      </w:pPr>
      <w:r>
        <w:rPr>
          <w:rFonts w:ascii="Times New Roman" w:eastAsia="黑体" w:cs="Times New Roman"/>
          <w:sz w:val="52"/>
          <w:szCs w:val="52"/>
        </w:rPr>
        <w:t>《电动摩托车和</w:t>
      </w:r>
      <w:r>
        <w:rPr>
          <w:rFonts w:hint="eastAsia" w:ascii="Times New Roman" w:eastAsia="黑体" w:cs="Times New Roman"/>
          <w:sz w:val="52"/>
          <w:szCs w:val="52"/>
        </w:rPr>
        <w:t>电动轻便</w:t>
      </w:r>
      <w:r>
        <w:rPr>
          <w:rFonts w:ascii="Times New Roman" w:eastAsia="黑体" w:cs="Times New Roman"/>
          <w:sz w:val="52"/>
          <w:szCs w:val="52"/>
        </w:rPr>
        <w:t>摩托车再生制动系统</w:t>
      </w:r>
      <w:r>
        <w:rPr>
          <w:rFonts w:hint="eastAsia" w:ascii="Times New Roman" w:eastAsia="黑体" w:cs="Times New Roman"/>
          <w:sz w:val="52"/>
          <w:szCs w:val="52"/>
        </w:rPr>
        <w:t>要求及</w:t>
      </w:r>
      <w:r>
        <w:rPr>
          <w:rFonts w:ascii="Times New Roman" w:eastAsia="黑体" w:cs="Times New Roman"/>
          <w:sz w:val="52"/>
          <w:szCs w:val="52"/>
        </w:rPr>
        <w:t>试验方</w:t>
      </w:r>
      <w:r>
        <w:rPr>
          <w:rFonts w:hint="eastAsia" w:ascii="Times New Roman" w:eastAsia="黑体" w:cs="Times New Roman"/>
          <w:sz w:val="52"/>
          <w:szCs w:val="52"/>
          <w:lang w:val="en-US" w:eastAsia="zh-CN"/>
        </w:rPr>
        <w:t>法</w:t>
      </w:r>
      <w:r>
        <w:rPr>
          <w:rFonts w:ascii="Times New Roman" w:eastAsia="黑体" w:cs="Times New Roman"/>
          <w:sz w:val="52"/>
          <w:szCs w:val="52"/>
        </w:rPr>
        <w:t>》</w:t>
      </w:r>
    </w:p>
    <w:p w14:paraId="0B180CC6">
      <w:pPr>
        <w:pStyle w:val="13"/>
        <w:jc w:val="center"/>
        <w:rPr>
          <w:rFonts w:ascii="Times New Roman" w:eastAsia="黑体" w:cs="Times New Roman"/>
          <w:sz w:val="32"/>
          <w:szCs w:val="32"/>
        </w:rPr>
      </w:pPr>
      <w:r>
        <w:rPr>
          <w:rFonts w:ascii="Times New Roman" w:eastAsia="黑体" w:cs="Times New Roman"/>
          <w:sz w:val="32"/>
          <w:szCs w:val="32"/>
        </w:rPr>
        <w:t>（</w:t>
      </w:r>
      <w:r>
        <w:rPr>
          <w:rFonts w:hint="eastAsia" w:ascii="Times New Roman" w:eastAsia="黑体" w:cs="Times New Roman"/>
          <w:sz w:val="32"/>
          <w:szCs w:val="32"/>
          <w:lang w:val="en-US" w:eastAsia="zh-CN"/>
        </w:rPr>
        <w:t>征求意见</w:t>
      </w:r>
      <w:r>
        <w:rPr>
          <w:rFonts w:hint="eastAsia" w:ascii="Times New Roman" w:eastAsia="黑体" w:cs="Times New Roman"/>
          <w:sz w:val="32"/>
          <w:szCs w:val="32"/>
        </w:rPr>
        <w:t>稿</w:t>
      </w:r>
      <w:r>
        <w:rPr>
          <w:rFonts w:ascii="Times New Roman" w:eastAsia="黑体" w:cs="Times New Roman"/>
          <w:sz w:val="32"/>
          <w:szCs w:val="32"/>
        </w:rPr>
        <w:t>）</w:t>
      </w:r>
    </w:p>
    <w:p w14:paraId="5DB9EF04">
      <w:pPr>
        <w:pStyle w:val="13"/>
        <w:jc w:val="center"/>
        <w:rPr>
          <w:rFonts w:ascii="Times New Roman" w:cs="Times New Roman"/>
          <w:sz w:val="52"/>
          <w:szCs w:val="52"/>
        </w:rPr>
      </w:pPr>
      <w:r>
        <w:rPr>
          <w:rFonts w:ascii="Times New Roman" w:eastAsia="黑体" w:cs="Times New Roman"/>
          <w:sz w:val="52"/>
          <w:szCs w:val="52"/>
        </w:rPr>
        <w:t>编制说明</w:t>
      </w:r>
    </w:p>
    <w:p w14:paraId="4C7476D3">
      <w:pPr>
        <w:pStyle w:val="13"/>
        <w:rPr>
          <w:rFonts w:ascii="Times New Roman" w:cs="Times New Roman"/>
          <w:sz w:val="52"/>
          <w:szCs w:val="52"/>
        </w:rPr>
      </w:pPr>
    </w:p>
    <w:p w14:paraId="29D71649">
      <w:pPr>
        <w:pStyle w:val="13"/>
        <w:rPr>
          <w:rFonts w:ascii="Times New Roman" w:cs="Times New Roman"/>
          <w:sz w:val="52"/>
          <w:szCs w:val="52"/>
        </w:rPr>
      </w:pPr>
    </w:p>
    <w:p w14:paraId="50B73B9E">
      <w:pPr>
        <w:pStyle w:val="13"/>
        <w:rPr>
          <w:rFonts w:ascii="Times New Roman" w:cs="Times New Roman"/>
          <w:sz w:val="52"/>
          <w:szCs w:val="52"/>
        </w:rPr>
      </w:pPr>
    </w:p>
    <w:p w14:paraId="72CBB9FD">
      <w:pPr>
        <w:pStyle w:val="13"/>
        <w:rPr>
          <w:rFonts w:ascii="Times New Roman" w:cs="Times New Roman"/>
          <w:sz w:val="52"/>
          <w:szCs w:val="52"/>
        </w:rPr>
      </w:pPr>
    </w:p>
    <w:p w14:paraId="5A8E6331">
      <w:pPr>
        <w:pStyle w:val="13"/>
        <w:rPr>
          <w:rFonts w:ascii="Times New Roman" w:cs="Times New Roman"/>
          <w:sz w:val="52"/>
          <w:szCs w:val="52"/>
        </w:rPr>
      </w:pPr>
    </w:p>
    <w:p w14:paraId="3FCDC75B">
      <w:pPr>
        <w:ind w:firstLine="0" w:firstLineChars="0"/>
        <w:rPr>
          <w:sz w:val="28"/>
          <w:szCs w:val="28"/>
        </w:rPr>
      </w:pPr>
    </w:p>
    <w:p w14:paraId="058AA9D8">
      <w:pPr>
        <w:ind w:firstLine="0" w:firstLineChars="0"/>
        <w:rPr>
          <w:sz w:val="28"/>
          <w:szCs w:val="28"/>
        </w:rPr>
      </w:pPr>
    </w:p>
    <w:p w14:paraId="1A914128">
      <w:pPr>
        <w:ind w:firstLine="0" w:firstLineChars="0"/>
        <w:rPr>
          <w:sz w:val="28"/>
          <w:szCs w:val="28"/>
        </w:rPr>
      </w:pPr>
    </w:p>
    <w:p w14:paraId="09CFACD9">
      <w:pPr>
        <w:ind w:firstLine="0" w:firstLineChars="0"/>
        <w:rPr>
          <w:sz w:val="28"/>
          <w:szCs w:val="28"/>
        </w:rPr>
      </w:pPr>
    </w:p>
    <w:p w14:paraId="3E1FA706">
      <w:pPr>
        <w:ind w:firstLine="0" w:firstLineChars="0"/>
        <w:jc w:val="center"/>
        <w:rPr>
          <w:sz w:val="28"/>
          <w:szCs w:val="28"/>
        </w:rPr>
      </w:pPr>
      <w:r>
        <w:rPr>
          <w:sz w:val="28"/>
          <w:szCs w:val="28"/>
        </w:rPr>
        <w:t>标准起草项目组</w:t>
      </w:r>
    </w:p>
    <w:p w14:paraId="25B2D4A6">
      <w:pPr>
        <w:pStyle w:val="13"/>
        <w:jc w:val="center"/>
        <w:outlineLvl w:val="0"/>
        <w:rPr>
          <w:rFonts w:ascii="Times New Roman" w:cs="Times New Roman"/>
          <w:bCs/>
          <w:sz w:val="28"/>
          <w:szCs w:val="28"/>
        </w:rPr>
      </w:pPr>
      <w:bookmarkStart w:id="1" w:name="_Toc1833"/>
      <w:bookmarkStart w:id="2" w:name="_Toc28309"/>
      <w:bookmarkStart w:id="3" w:name="_Toc4474"/>
      <w:bookmarkStart w:id="4" w:name="_Toc36212234"/>
      <w:bookmarkStart w:id="5" w:name="_Toc6563"/>
      <w:r>
        <w:rPr>
          <w:rFonts w:ascii="Times New Roman" w:cs="Times New Roman"/>
          <w:bCs/>
          <w:sz w:val="28"/>
          <w:szCs w:val="28"/>
        </w:rPr>
        <w:t>202</w:t>
      </w:r>
      <w:r>
        <w:rPr>
          <w:rFonts w:hint="eastAsia" w:ascii="Times New Roman" w:cs="Times New Roman"/>
          <w:bCs/>
          <w:sz w:val="28"/>
          <w:szCs w:val="28"/>
          <w:lang w:val="en-US" w:eastAsia="zh-CN"/>
        </w:rPr>
        <w:t>5</w:t>
      </w:r>
      <w:r>
        <w:rPr>
          <w:rFonts w:ascii="Times New Roman" w:cs="Times New Roman"/>
          <w:bCs/>
          <w:sz w:val="28"/>
          <w:szCs w:val="28"/>
        </w:rPr>
        <w:t>年</w:t>
      </w:r>
      <w:r>
        <w:rPr>
          <w:rFonts w:hint="eastAsia" w:ascii="Times New Roman" w:cs="Times New Roman"/>
          <w:bCs/>
          <w:sz w:val="28"/>
          <w:szCs w:val="28"/>
          <w:lang w:val="en-US" w:eastAsia="zh-CN"/>
        </w:rPr>
        <w:t>12</w:t>
      </w:r>
      <w:r>
        <w:rPr>
          <w:rFonts w:ascii="Times New Roman" w:cs="Times New Roman"/>
          <w:bCs/>
          <w:sz w:val="28"/>
          <w:szCs w:val="28"/>
        </w:rPr>
        <w:t>月</w:t>
      </w:r>
      <w:bookmarkEnd w:id="1"/>
      <w:bookmarkEnd w:id="2"/>
      <w:bookmarkEnd w:id="3"/>
      <w:bookmarkEnd w:id="4"/>
      <w:bookmarkEnd w:id="5"/>
      <w:bookmarkStart w:id="6" w:name="_Toc29559"/>
      <w:bookmarkStart w:id="7" w:name="_Toc4065"/>
      <w:bookmarkStart w:id="8" w:name="_Toc12015"/>
      <w:bookmarkStart w:id="9" w:name="_Toc30310"/>
      <w:bookmarkStart w:id="10" w:name="_Toc28417"/>
      <w:bookmarkStart w:id="11" w:name="_Toc36212235"/>
      <w:bookmarkStart w:id="12" w:name="_Toc28374"/>
    </w:p>
    <w:bookmarkEnd w:id="0"/>
    <w:p w14:paraId="1B7BADBE">
      <w:pPr>
        <w:pStyle w:val="13"/>
        <w:jc w:val="center"/>
        <w:outlineLvl w:val="0"/>
        <w:rPr>
          <w:rFonts w:ascii="Times New Roman" w:cs="Times New Roman"/>
          <w:bCs/>
          <w:sz w:val="28"/>
          <w:szCs w:val="28"/>
        </w:rPr>
      </w:pPr>
    </w:p>
    <w:p w14:paraId="6A313974">
      <w:pPr>
        <w:pStyle w:val="13"/>
        <w:jc w:val="center"/>
        <w:outlineLvl w:val="0"/>
        <w:rPr>
          <w:rFonts w:ascii="Times New Roman" w:eastAsia="黑体" w:cs="Times New Roman"/>
        </w:rPr>
      </w:pPr>
    </w:p>
    <w:p w14:paraId="6F6A942F">
      <w:pPr>
        <w:autoSpaceDE w:val="0"/>
        <w:autoSpaceDN w:val="0"/>
        <w:adjustRightInd w:val="0"/>
        <w:spacing w:line="240" w:lineRule="auto"/>
        <w:ind w:firstLine="0" w:firstLineChars="0"/>
        <w:jc w:val="center"/>
        <w:outlineLvl w:val="0"/>
        <w:rPr>
          <w:rFonts w:ascii="Times New Roman" w:hAnsi="Times New Roman" w:eastAsia="宋体" w:cs="Times New Roman"/>
          <w:kern w:val="2"/>
          <w:sz w:val="21"/>
          <w:szCs w:val="24"/>
          <w:lang w:val="en-US" w:eastAsia="zh-CN" w:bidi="ar-SA"/>
        </w:rPr>
      </w:pPr>
      <w:bookmarkStart w:id="13" w:name="_Toc6820"/>
      <w:bookmarkStart w:id="14" w:name="_Hlk64896338"/>
      <w:r>
        <w:rPr>
          <w:rFonts w:ascii="Times New Roman" w:eastAsia="黑体" w:cs="Times New Roman"/>
          <w:sz w:val="28"/>
          <w:szCs w:val="28"/>
        </w:rPr>
        <w:t>目</w:t>
      </w:r>
      <w:bookmarkStart w:id="15" w:name="BKML"/>
      <w:r>
        <w:rPr>
          <w:rFonts w:ascii="Times New Roman" w:eastAsia="黑体" w:cs="Times New Roman"/>
          <w:sz w:val="28"/>
          <w:szCs w:val="28"/>
        </w:rPr>
        <w:t xml:space="preserve">  次</w:t>
      </w:r>
      <w:bookmarkEnd w:id="6"/>
      <w:bookmarkEnd w:id="7"/>
      <w:bookmarkEnd w:id="8"/>
      <w:bookmarkEnd w:id="13"/>
      <w:bookmarkEnd w:id="15"/>
      <w:r>
        <w:rPr>
          <w:rFonts w:ascii="Times New Roman" w:cs="Times New Roman"/>
        </w:rPr>
        <w:fldChar w:fldCharType="begin"/>
      </w:r>
      <w:r>
        <w:rPr>
          <w:rFonts w:ascii="Times New Roman" w:cs="Times New Roman"/>
        </w:rPr>
        <w:instrText xml:space="preserve">TOC \o "1-2" \h \u </w:instrText>
      </w:r>
      <w:r>
        <w:rPr>
          <w:rFonts w:ascii="Times New Roman" w:cs="Times New Roman"/>
        </w:rPr>
        <w:fldChar w:fldCharType="separate"/>
      </w:r>
    </w:p>
    <w:p w14:paraId="651CFD5D">
      <w:pPr>
        <w:pStyle w:val="5"/>
        <w:tabs>
          <w:tab w:val="right" w:leader="dot" w:pos="8349"/>
        </w:tabs>
      </w:pPr>
      <w:r>
        <w:fldChar w:fldCharType="begin"/>
      </w:r>
      <w:r>
        <w:instrText xml:space="preserve"> HYPERLINK \l _Toc22119 </w:instrText>
      </w:r>
      <w:r>
        <w:fldChar w:fldCharType="separate"/>
      </w:r>
      <w:r>
        <w:rPr>
          <w:rFonts w:hint="default" w:eastAsia="黑体"/>
          <w:bCs/>
          <w:kern w:val="0"/>
        </w:rPr>
        <w:t xml:space="preserve">一、 </w:t>
      </w:r>
      <w:r>
        <w:rPr>
          <w:rFonts w:eastAsia="黑体"/>
          <w:bCs/>
          <w:kern w:val="0"/>
        </w:rPr>
        <w:t>工作简况</w:t>
      </w:r>
      <w:r>
        <w:tab/>
      </w:r>
      <w:r>
        <w:fldChar w:fldCharType="begin"/>
      </w:r>
      <w:r>
        <w:instrText xml:space="preserve"> PAGEREF _Toc22119 \h </w:instrText>
      </w:r>
      <w:r>
        <w:fldChar w:fldCharType="separate"/>
      </w:r>
      <w:r>
        <w:t>1</w:t>
      </w:r>
      <w:r>
        <w:fldChar w:fldCharType="end"/>
      </w:r>
      <w:r>
        <w:fldChar w:fldCharType="end"/>
      </w:r>
    </w:p>
    <w:p w14:paraId="020953F1">
      <w:pPr>
        <w:pStyle w:val="5"/>
        <w:tabs>
          <w:tab w:val="right" w:leader="dot" w:pos="8349"/>
        </w:tabs>
      </w:pPr>
      <w:r>
        <w:fldChar w:fldCharType="begin"/>
      </w:r>
      <w:r>
        <w:instrText xml:space="preserve"> HYPERLINK \l _Toc9499 </w:instrText>
      </w:r>
      <w:r>
        <w:fldChar w:fldCharType="separate"/>
      </w:r>
      <w:r>
        <w:rPr>
          <w:rFonts w:hint="default" w:eastAsia="黑体"/>
          <w:bCs/>
          <w:kern w:val="0"/>
        </w:rPr>
        <w:t xml:space="preserve">二、 </w:t>
      </w:r>
      <w:r>
        <w:rPr>
          <w:rFonts w:hint="eastAsia" w:eastAsia="黑体"/>
          <w:bCs/>
          <w:kern w:val="0"/>
          <w:lang w:val="en-US" w:eastAsia="zh-CN"/>
        </w:rPr>
        <w:t>团体</w:t>
      </w:r>
      <w:r>
        <w:rPr>
          <w:rFonts w:eastAsia="黑体"/>
          <w:bCs/>
          <w:kern w:val="0"/>
        </w:rPr>
        <w:t>标准编制原则和确定</w:t>
      </w:r>
      <w:r>
        <w:rPr>
          <w:rFonts w:hint="eastAsia" w:eastAsia="黑体"/>
          <w:bCs/>
          <w:kern w:val="0"/>
          <w:lang w:val="en-US" w:eastAsia="zh-CN"/>
        </w:rPr>
        <w:t>团体</w:t>
      </w:r>
      <w:r>
        <w:rPr>
          <w:rFonts w:eastAsia="黑体"/>
          <w:bCs/>
          <w:kern w:val="0"/>
        </w:rPr>
        <w:t>标准主要内容的依据</w:t>
      </w:r>
      <w:r>
        <w:tab/>
      </w:r>
      <w:r>
        <w:fldChar w:fldCharType="begin"/>
      </w:r>
      <w:r>
        <w:instrText xml:space="preserve"> PAGEREF _Toc9499 \h </w:instrText>
      </w:r>
      <w:r>
        <w:fldChar w:fldCharType="separate"/>
      </w:r>
      <w:r>
        <w:t>2</w:t>
      </w:r>
      <w:r>
        <w:fldChar w:fldCharType="end"/>
      </w:r>
      <w:r>
        <w:fldChar w:fldCharType="end"/>
      </w:r>
    </w:p>
    <w:p w14:paraId="17814DCD">
      <w:pPr>
        <w:pStyle w:val="5"/>
        <w:tabs>
          <w:tab w:val="right" w:leader="dot" w:pos="8349"/>
        </w:tabs>
      </w:pPr>
      <w:r>
        <w:fldChar w:fldCharType="begin"/>
      </w:r>
      <w:r>
        <w:instrText xml:space="preserve"> HYPERLINK \l _Toc28954 </w:instrText>
      </w:r>
      <w:r>
        <w:fldChar w:fldCharType="separate"/>
      </w:r>
      <w:r>
        <w:rPr>
          <w:rFonts w:hint="default" w:eastAsia="黑体"/>
          <w:bCs/>
          <w:kern w:val="0"/>
        </w:rPr>
        <w:t xml:space="preserve">三、 </w:t>
      </w:r>
      <w:r>
        <w:rPr>
          <w:rFonts w:eastAsia="黑体"/>
          <w:bCs/>
          <w:kern w:val="0"/>
        </w:rPr>
        <w:t>主要试验（或验证）情况分析</w:t>
      </w:r>
      <w:r>
        <w:tab/>
      </w:r>
      <w:r>
        <w:fldChar w:fldCharType="begin"/>
      </w:r>
      <w:r>
        <w:instrText xml:space="preserve"> PAGEREF _Toc28954 \h </w:instrText>
      </w:r>
      <w:r>
        <w:fldChar w:fldCharType="separate"/>
      </w:r>
      <w:r>
        <w:t>3</w:t>
      </w:r>
      <w:r>
        <w:fldChar w:fldCharType="end"/>
      </w:r>
      <w:r>
        <w:fldChar w:fldCharType="end"/>
      </w:r>
    </w:p>
    <w:p w14:paraId="4A35A131">
      <w:pPr>
        <w:pStyle w:val="5"/>
        <w:tabs>
          <w:tab w:val="right" w:leader="dot" w:pos="8349"/>
        </w:tabs>
      </w:pPr>
      <w:r>
        <w:fldChar w:fldCharType="begin"/>
      </w:r>
      <w:r>
        <w:instrText xml:space="preserve"> HYPERLINK \l _Toc9657 </w:instrText>
      </w:r>
      <w:r>
        <w:fldChar w:fldCharType="separate"/>
      </w:r>
      <w:r>
        <w:rPr>
          <w:rFonts w:hint="default" w:eastAsia="黑体"/>
          <w:bCs/>
          <w:kern w:val="0"/>
        </w:rPr>
        <w:t xml:space="preserve">四、 </w:t>
      </w:r>
      <w:r>
        <w:rPr>
          <w:rFonts w:eastAsia="黑体"/>
          <w:bCs/>
          <w:kern w:val="0"/>
        </w:rPr>
        <w:t>标准中涉及专利的情况</w:t>
      </w:r>
      <w:r>
        <w:tab/>
      </w:r>
      <w:r>
        <w:fldChar w:fldCharType="begin"/>
      </w:r>
      <w:r>
        <w:instrText xml:space="preserve"> PAGEREF _Toc9657 \h </w:instrText>
      </w:r>
      <w:r>
        <w:fldChar w:fldCharType="separate"/>
      </w:r>
      <w:r>
        <w:t>4</w:t>
      </w:r>
      <w:r>
        <w:fldChar w:fldCharType="end"/>
      </w:r>
      <w:r>
        <w:fldChar w:fldCharType="end"/>
      </w:r>
    </w:p>
    <w:p w14:paraId="434A3BE7">
      <w:pPr>
        <w:pStyle w:val="5"/>
        <w:tabs>
          <w:tab w:val="right" w:leader="dot" w:pos="8349"/>
        </w:tabs>
      </w:pPr>
      <w:r>
        <w:fldChar w:fldCharType="begin"/>
      </w:r>
      <w:r>
        <w:instrText xml:space="preserve"> HYPERLINK \l _Toc15156 </w:instrText>
      </w:r>
      <w:r>
        <w:fldChar w:fldCharType="separate"/>
      </w:r>
      <w:r>
        <w:rPr>
          <w:rFonts w:hint="default" w:eastAsia="黑体"/>
          <w:bCs/>
          <w:kern w:val="0"/>
        </w:rPr>
        <w:t xml:space="preserve">五、 </w:t>
      </w:r>
      <w:r>
        <w:rPr>
          <w:rFonts w:eastAsia="黑体"/>
          <w:bCs/>
          <w:kern w:val="0"/>
        </w:rPr>
        <w:t>预期达到的社会效益等情况</w:t>
      </w:r>
      <w:r>
        <w:tab/>
      </w:r>
      <w:r>
        <w:fldChar w:fldCharType="begin"/>
      </w:r>
      <w:r>
        <w:instrText xml:space="preserve"> PAGEREF _Toc15156 \h </w:instrText>
      </w:r>
      <w:r>
        <w:fldChar w:fldCharType="separate"/>
      </w:r>
      <w:r>
        <w:t>4</w:t>
      </w:r>
      <w:r>
        <w:fldChar w:fldCharType="end"/>
      </w:r>
      <w:r>
        <w:fldChar w:fldCharType="end"/>
      </w:r>
    </w:p>
    <w:p w14:paraId="7D36D4F2">
      <w:pPr>
        <w:pStyle w:val="5"/>
        <w:tabs>
          <w:tab w:val="right" w:leader="dot" w:pos="8349"/>
        </w:tabs>
      </w:pPr>
      <w:r>
        <w:fldChar w:fldCharType="begin"/>
      </w:r>
      <w:r>
        <w:instrText xml:space="preserve"> HYPERLINK \l _Toc10541 </w:instrText>
      </w:r>
      <w:r>
        <w:fldChar w:fldCharType="separate"/>
      </w:r>
      <w:r>
        <w:rPr>
          <w:rFonts w:hint="default" w:eastAsia="黑体"/>
          <w:bCs/>
          <w:kern w:val="0"/>
        </w:rPr>
        <w:t xml:space="preserve">六、 </w:t>
      </w:r>
      <w:r>
        <w:rPr>
          <w:rFonts w:eastAsia="黑体"/>
          <w:bCs/>
          <w:kern w:val="0"/>
        </w:rPr>
        <w:t>采用国际标准和国外先进标准的情况</w:t>
      </w:r>
      <w:r>
        <w:tab/>
      </w:r>
      <w:r>
        <w:fldChar w:fldCharType="begin"/>
      </w:r>
      <w:r>
        <w:instrText xml:space="preserve"> PAGEREF _Toc10541 \h </w:instrText>
      </w:r>
      <w:r>
        <w:fldChar w:fldCharType="separate"/>
      </w:r>
      <w:r>
        <w:t>5</w:t>
      </w:r>
      <w:r>
        <w:fldChar w:fldCharType="end"/>
      </w:r>
      <w:r>
        <w:fldChar w:fldCharType="end"/>
      </w:r>
    </w:p>
    <w:p w14:paraId="70001AF5">
      <w:pPr>
        <w:pStyle w:val="5"/>
        <w:tabs>
          <w:tab w:val="right" w:leader="dot" w:pos="8349"/>
        </w:tabs>
      </w:pPr>
      <w:r>
        <w:fldChar w:fldCharType="begin"/>
      </w:r>
      <w:r>
        <w:instrText xml:space="preserve"> HYPERLINK \l _Toc15027 </w:instrText>
      </w:r>
      <w:r>
        <w:fldChar w:fldCharType="separate"/>
      </w:r>
      <w:r>
        <w:rPr>
          <w:rFonts w:hint="default" w:eastAsia="黑体"/>
          <w:bCs/>
          <w:kern w:val="0"/>
        </w:rPr>
        <w:t xml:space="preserve">七、 </w:t>
      </w:r>
      <w:r>
        <w:rPr>
          <w:rFonts w:eastAsia="黑体"/>
          <w:bCs/>
          <w:kern w:val="0"/>
        </w:rPr>
        <w:t>与现行相关法律、法规、规章及相关标准的协调性</w:t>
      </w:r>
      <w:r>
        <w:tab/>
      </w:r>
      <w:r>
        <w:fldChar w:fldCharType="begin"/>
      </w:r>
      <w:r>
        <w:instrText xml:space="preserve"> PAGEREF _Toc15027 \h </w:instrText>
      </w:r>
      <w:r>
        <w:fldChar w:fldCharType="separate"/>
      </w:r>
      <w:r>
        <w:t>5</w:t>
      </w:r>
      <w:r>
        <w:fldChar w:fldCharType="end"/>
      </w:r>
      <w:r>
        <w:fldChar w:fldCharType="end"/>
      </w:r>
    </w:p>
    <w:p w14:paraId="071C90E7">
      <w:pPr>
        <w:pStyle w:val="5"/>
        <w:tabs>
          <w:tab w:val="right" w:leader="dot" w:pos="8349"/>
        </w:tabs>
      </w:pPr>
      <w:r>
        <w:fldChar w:fldCharType="begin"/>
      </w:r>
      <w:r>
        <w:instrText xml:space="preserve"> HYPERLINK \l _Toc32698 </w:instrText>
      </w:r>
      <w:r>
        <w:fldChar w:fldCharType="separate"/>
      </w:r>
      <w:r>
        <w:rPr>
          <w:rFonts w:hint="default" w:eastAsia="黑体"/>
          <w:bCs/>
          <w:kern w:val="0"/>
        </w:rPr>
        <w:t xml:space="preserve">八、 </w:t>
      </w:r>
      <w:r>
        <w:rPr>
          <w:rFonts w:eastAsia="黑体"/>
          <w:bCs/>
          <w:kern w:val="0"/>
        </w:rPr>
        <w:t>重大分歧意见的处理经过和依据</w:t>
      </w:r>
      <w:r>
        <w:tab/>
      </w:r>
      <w:r>
        <w:fldChar w:fldCharType="begin"/>
      </w:r>
      <w:r>
        <w:instrText xml:space="preserve"> PAGEREF _Toc32698 \h </w:instrText>
      </w:r>
      <w:r>
        <w:fldChar w:fldCharType="separate"/>
      </w:r>
      <w:r>
        <w:t>5</w:t>
      </w:r>
      <w:r>
        <w:fldChar w:fldCharType="end"/>
      </w:r>
      <w:r>
        <w:fldChar w:fldCharType="end"/>
      </w:r>
    </w:p>
    <w:p w14:paraId="11E2C307">
      <w:pPr>
        <w:pStyle w:val="5"/>
        <w:tabs>
          <w:tab w:val="right" w:leader="dot" w:pos="8349"/>
        </w:tabs>
      </w:pPr>
      <w:r>
        <w:fldChar w:fldCharType="begin"/>
      </w:r>
      <w:r>
        <w:instrText xml:space="preserve"> HYPERLINK \l _Toc24586 </w:instrText>
      </w:r>
      <w:r>
        <w:fldChar w:fldCharType="separate"/>
      </w:r>
      <w:r>
        <w:rPr>
          <w:rFonts w:hint="default" w:eastAsia="黑体"/>
          <w:bCs/>
          <w:kern w:val="0"/>
        </w:rPr>
        <w:t xml:space="preserve">九、 </w:t>
      </w:r>
      <w:r>
        <w:rPr>
          <w:rFonts w:eastAsia="黑体"/>
          <w:bCs/>
          <w:kern w:val="0"/>
        </w:rPr>
        <w:t>标准性质的建议说明</w:t>
      </w:r>
      <w:r>
        <w:tab/>
      </w:r>
      <w:r>
        <w:fldChar w:fldCharType="begin"/>
      </w:r>
      <w:r>
        <w:instrText xml:space="preserve"> PAGEREF _Toc24586 \h </w:instrText>
      </w:r>
      <w:r>
        <w:fldChar w:fldCharType="separate"/>
      </w:r>
      <w:r>
        <w:t>5</w:t>
      </w:r>
      <w:r>
        <w:fldChar w:fldCharType="end"/>
      </w:r>
      <w:r>
        <w:fldChar w:fldCharType="end"/>
      </w:r>
    </w:p>
    <w:p w14:paraId="182099B4">
      <w:pPr>
        <w:pStyle w:val="5"/>
        <w:tabs>
          <w:tab w:val="right" w:leader="dot" w:pos="8349"/>
        </w:tabs>
      </w:pPr>
      <w:r>
        <w:fldChar w:fldCharType="begin"/>
      </w:r>
      <w:r>
        <w:instrText xml:space="preserve"> HYPERLINK \l _Toc7264 </w:instrText>
      </w:r>
      <w:r>
        <w:fldChar w:fldCharType="separate"/>
      </w:r>
      <w:r>
        <w:rPr>
          <w:rFonts w:hint="default" w:eastAsia="黑体"/>
          <w:bCs/>
          <w:kern w:val="0"/>
        </w:rPr>
        <w:t xml:space="preserve">十、 </w:t>
      </w:r>
      <w:r>
        <w:rPr>
          <w:rFonts w:eastAsia="黑体"/>
          <w:bCs/>
          <w:kern w:val="0"/>
        </w:rPr>
        <w:t>贯彻标准的要求和措施建议</w:t>
      </w:r>
      <w:r>
        <w:tab/>
      </w:r>
      <w:r>
        <w:fldChar w:fldCharType="begin"/>
      </w:r>
      <w:r>
        <w:instrText xml:space="preserve"> PAGEREF _Toc7264 \h </w:instrText>
      </w:r>
      <w:r>
        <w:fldChar w:fldCharType="separate"/>
      </w:r>
      <w:r>
        <w:t>5</w:t>
      </w:r>
      <w:r>
        <w:fldChar w:fldCharType="end"/>
      </w:r>
      <w:r>
        <w:fldChar w:fldCharType="end"/>
      </w:r>
    </w:p>
    <w:p w14:paraId="7D240485">
      <w:pPr>
        <w:pStyle w:val="5"/>
        <w:tabs>
          <w:tab w:val="right" w:leader="dot" w:pos="8349"/>
        </w:tabs>
      </w:pPr>
      <w:r>
        <w:fldChar w:fldCharType="begin"/>
      </w:r>
      <w:r>
        <w:instrText xml:space="preserve"> HYPERLINK \l _Toc19779 </w:instrText>
      </w:r>
      <w:r>
        <w:fldChar w:fldCharType="separate"/>
      </w:r>
      <w:r>
        <w:rPr>
          <w:rFonts w:hint="default" w:eastAsia="黑体"/>
          <w:bCs/>
          <w:kern w:val="0"/>
        </w:rPr>
        <w:t xml:space="preserve">十一、 </w:t>
      </w:r>
      <w:r>
        <w:rPr>
          <w:rFonts w:eastAsia="黑体"/>
          <w:bCs/>
          <w:kern w:val="0"/>
        </w:rPr>
        <w:t>废止现行相关标准的建议</w:t>
      </w:r>
      <w:r>
        <w:tab/>
      </w:r>
      <w:r>
        <w:fldChar w:fldCharType="begin"/>
      </w:r>
      <w:r>
        <w:instrText xml:space="preserve"> PAGEREF _Toc19779 \h </w:instrText>
      </w:r>
      <w:r>
        <w:fldChar w:fldCharType="separate"/>
      </w:r>
      <w:r>
        <w:t>5</w:t>
      </w:r>
      <w:r>
        <w:fldChar w:fldCharType="end"/>
      </w:r>
      <w:r>
        <w:fldChar w:fldCharType="end"/>
      </w:r>
    </w:p>
    <w:p w14:paraId="665AF447">
      <w:pPr>
        <w:pStyle w:val="5"/>
        <w:tabs>
          <w:tab w:val="right" w:leader="dot" w:pos="8349"/>
        </w:tabs>
      </w:pPr>
      <w:r>
        <w:fldChar w:fldCharType="begin"/>
      </w:r>
      <w:r>
        <w:instrText xml:space="preserve"> HYPERLINK \l _Toc29570 </w:instrText>
      </w:r>
      <w:r>
        <w:fldChar w:fldCharType="separate"/>
      </w:r>
      <w:r>
        <w:rPr>
          <w:rFonts w:hint="default" w:eastAsia="黑体"/>
          <w:bCs/>
          <w:kern w:val="0"/>
        </w:rPr>
        <w:t xml:space="preserve">十二、 </w:t>
      </w:r>
      <w:r>
        <w:rPr>
          <w:rFonts w:eastAsia="黑体"/>
          <w:bCs/>
          <w:kern w:val="0"/>
        </w:rPr>
        <w:t>其他应予说明的事项</w:t>
      </w:r>
      <w:r>
        <w:tab/>
      </w:r>
      <w:r>
        <w:fldChar w:fldCharType="begin"/>
      </w:r>
      <w:r>
        <w:instrText xml:space="preserve"> PAGEREF _Toc29570 \h </w:instrText>
      </w:r>
      <w:r>
        <w:fldChar w:fldCharType="separate"/>
      </w:r>
      <w:r>
        <w:t>5</w:t>
      </w:r>
      <w:r>
        <w:fldChar w:fldCharType="end"/>
      </w:r>
      <w:r>
        <w:fldChar w:fldCharType="end"/>
      </w:r>
    </w:p>
    <w:p w14:paraId="294AC735">
      <w:pPr>
        <w:pStyle w:val="13"/>
        <w:autoSpaceDE w:val="0"/>
        <w:autoSpaceDN w:val="0"/>
        <w:adjustRightInd w:val="0"/>
        <w:spacing w:before="156" w:beforeLines="50" w:after="156" w:afterLines="50" w:line="240" w:lineRule="auto"/>
        <w:ind w:firstLine="0" w:firstLineChars="0"/>
        <w:jc w:val="center"/>
        <w:outlineLvl w:val="0"/>
        <w:rPr>
          <w:rFonts w:eastAsia="黑体"/>
          <w:color w:val="000000"/>
          <w:kern w:val="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757" w:header="851" w:footer="992" w:gutter="0"/>
          <w:cols w:space="0" w:num="1"/>
          <w:titlePg/>
          <w:docGrid w:type="lines" w:linePitch="312" w:charSpace="0"/>
        </w:sectPr>
      </w:pPr>
      <w:r>
        <w:fldChar w:fldCharType="end"/>
      </w:r>
      <w:bookmarkEnd w:id="14"/>
    </w:p>
    <w:p w14:paraId="25EFEFE3">
      <w:pPr>
        <w:autoSpaceDE w:val="0"/>
        <w:autoSpaceDN w:val="0"/>
        <w:adjustRightInd w:val="0"/>
        <w:spacing w:line="240" w:lineRule="auto"/>
        <w:ind w:firstLine="0" w:firstLineChars="0"/>
        <w:jc w:val="center"/>
        <w:outlineLvl w:val="0"/>
        <w:rPr>
          <w:rFonts w:eastAsia="黑体"/>
          <w:color w:val="000000"/>
          <w:kern w:val="0"/>
          <w:sz w:val="32"/>
          <w:szCs w:val="32"/>
        </w:rPr>
      </w:pPr>
      <w:bookmarkStart w:id="16" w:name="_Toc1106"/>
      <w:r>
        <w:rPr>
          <w:rFonts w:eastAsia="黑体"/>
          <w:color w:val="000000"/>
          <w:kern w:val="0"/>
          <w:sz w:val="32"/>
          <w:szCs w:val="32"/>
        </w:rPr>
        <w:t>《电动摩托车和</w:t>
      </w:r>
      <w:r>
        <w:rPr>
          <w:rFonts w:hint="eastAsia" w:eastAsia="黑体"/>
          <w:color w:val="000000"/>
          <w:kern w:val="0"/>
          <w:sz w:val="32"/>
          <w:szCs w:val="32"/>
        </w:rPr>
        <w:t>电动轻便</w:t>
      </w:r>
      <w:r>
        <w:rPr>
          <w:rFonts w:eastAsia="黑体"/>
          <w:color w:val="000000"/>
          <w:kern w:val="0"/>
          <w:sz w:val="32"/>
          <w:szCs w:val="32"/>
        </w:rPr>
        <w:t>摩托车再生制动系统</w:t>
      </w:r>
      <w:r>
        <w:rPr>
          <w:rFonts w:hint="eastAsia" w:eastAsia="黑体"/>
          <w:color w:val="000000"/>
          <w:kern w:val="0"/>
          <w:sz w:val="32"/>
          <w:szCs w:val="32"/>
        </w:rPr>
        <w:t>要求及</w:t>
      </w:r>
      <w:r>
        <w:rPr>
          <w:rFonts w:eastAsia="黑体"/>
          <w:color w:val="000000"/>
          <w:kern w:val="0"/>
          <w:sz w:val="32"/>
          <w:szCs w:val="32"/>
        </w:rPr>
        <w:t>试验方法》</w:t>
      </w:r>
      <w:bookmarkEnd w:id="9"/>
      <w:bookmarkEnd w:id="10"/>
      <w:bookmarkEnd w:id="11"/>
      <w:bookmarkEnd w:id="12"/>
      <w:bookmarkEnd w:id="16"/>
    </w:p>
    <w:p w14:paraId="7154C5EA">
      <w:pPr>
        <w:autoSpaceDE w:val="0"/>
        <w:autoSpaceDN w:val="0"/>
        <w:adjustRightInd w:val="0"/>
        <w:spacing w:line="240" w:lineRule="auto"/>
        <w:ind w:firstLine="0" w:firstLineChars="0"/>
        <w:jc w:val="center"/>
        <w:outlineLvl w:val="0"/>
        <w:rPr>
          <w:rFonts w:eastAsia="黑体"/>
          <w:color w:val="000000"/>
          <w:kern w:val="0"/>
          <w:sz w:val="32"/>
          <w:szCs w:val="32"/>
        </w:rPr>
      </w:pPr>
      <w:bookmarkStart w:id="17" w:name="_Toc18026"/>
      <w:bookmarkStart w:id="18" w:name="_Toc4815"/>
      <w:bookmarkStart w:id="19" w:name="_Toc36212236"/>
      <w:bookmarkStart w:id="20" w:name="_Toc14803"/>
      <w:bookmarkStart w:id="21" w:name="_Toc21854"/>
      <w:r>
        <w:rPr>
          <w:rFonts w:eastAsia="黑体"/>
          <w:color w:val="000000"/>
          <w:kern w:val="0"/>
          <w:sz w:val="32"/>
          <w:szCs w:val="32"/>
        </w:rPr>
        <w:t>（</w:t>
      </w:r>
      <w:r>
        <w:rPr>
          <w:rFonts w:hint="eastAsia" w:eastAsia="黑体"/>
          <w:color w:val="000000"/>
          <w:kern w:val="0"/>
          <w:sz w:val="32"/>
          <w:szCs w:val="32"/>
          <w:lang w:val="en-US" w:eastAsia="zh-CN"/>
        </w:rPr>
        <w:t>征求意见</w:t>
      </w:r>
      <w:r>
        <w:rPr>
          <w:rFonts w:hint="eastAsia" w:eastAsia="黑体"/>
          <w:color w:val="000000"/>
          <w:kern w:val="0"/>
          <w:sz w:val="32"/>
          <w:szCs w:val="32"/>
        </w:rPr>
        <w:t>稿</w:t>
      </w:r>
      <w:r>
        <w:rPr>
          <w:rFonts w:eastAsia="黑体"/>
          <w:color w:val="000000"/>
          <w:kern w:val="0"/>
          <w:sz w:val="32"/>
          <w:szCs w:val="32"/>
        </w:rPr>
        <w:t>）</w:t>
      </w:r>
      <w:bookmarkEnd w:id="17"/>
      <w:bookmarkEnd w:id="18"/>
      <w:bookmarkEnd w:id="19"/>
      <w:bookmarkEnd w:id="20"/>
      <w:bookmarkEnd w:id="21"/>
    </w:p>
    <w:p w14:paraId="7CB52022">
      <w:pPr>
        <w:autoSpaceDE w:val="0"/>
        <w:autoSpaceDN w:val="0"/>
        <w:adjustRightInd w:val="0"/>
        <w:spacing w:line="240" w:lineRule="auto"/>
        <w:ind w:firstLine="0" w:firstLineChars="0"/>
        <w:jc w:val="center"/>
        <w:outlineLvl w:val="0"/>
        <w:rPr>
          <w:rFonts w:eastAsia="黑体"/>
          <w:color w:val="000000"/>
          <w:kern w:val="0"/>
          <w:sz w:val="32"/>
          <w:szCs w:val="32"/>
        </w:rPr>
      </w:pPr>
      <w:bookmarkStart w:id="22" w:name="_Toc31546"/>
      <w:bookmarkStart w:id="23" w:name="_Toc8137"/>
      <w:bookmarkStart w:id="24" w:name="_Toc30226"/>
      <w:bookmarkStart w:id="25" w:name="_Toc26799"/>
      <w:bookmarkStart w:id="26" w:name="_Toc36212237"/>
      <w:r>
        <w:rPr>
          <w:rFonts w:eastAsia="黑体"/>
          <w:color w:val="000000"/>
          <w:kern w:val="0"/>
          <w:sz w:val="32"/>
          <w:szCs w:val="32"/>
        </w:rPr>
        <w:t>编制说明</w:t>
      </w:r>
      <w:bookmarkEnd w:id="22"/>
      <w:bookmarkEnd w:id="23"/>
      <w:bookmarkEnd w:id="24"/>
      <w:bookmarkEnd w:id="25"/>
      <w:bookmarkEnd w:id="26"/>
    </w:p>
    <w:p w14:paraId="6DBF1BD7">
      <w:pPr>
        <w:numPr>
          <w:ilvl w:val="0"/>
          <w:numId w:val="2"/>
        </w:numPr>
        <w:autoSpaceDE w:val="0"/>
        <w:autoSpaceDN w:val="0"/>
        <w:adjustRightInd w:val="0"/>
        <w:spacing w:before="156" w:beforeLines="50" w:after="156" w:afterLines="50" w:line="400" w:lineRule="exact"/>
        <w:ind w:left="567" w:hanging="567" w:firstLineChars="0"/>
        <w:jc w:val="left"/>
        <w:outlineLvl w:val="0"/>
        <w:rPr>
          <w:rFonts w:eastAsia="黑体"/>
          <w:bCs/>
          <w:color w:val="000000"/>
          <w:kern w:val="0"/>
          <w:sz w:val="24"/>
        </w:rPr>
      </w:pPr>
      <w:bookmarkStart w:id="27" w:name="_Toc36212238"/>
      <w:bookmarkStart w:id="28" w:name="_Toc22119"/>
      <w:bookmarkStart w:id="29" w:name="_Toc733"/>
      <w:bookmarkStart w:id="30" w:name="_Toc7124"/>
      <w:bookmarkStart w:id="31" w:name="_Hlk64896381"/>
      <w:r>
        <w:rPr>
          <w:rFonts w:eastAsia="黑体"/>
          <w:bCs/>
          <w:color w:val="000000"/>
          <w:kern w:val="0"/>
          <w:sz w:val="24"/>
        </w:rPr>
        <w:t>工作简况</w:t>
      </w:r>
      <w:bookmarkEnd w:id="27"/>
      <w:bookmarkEnd w:id="28"/>
      <w:bookmarkEnd w:id="29"/>
      <w:bookmarkEnd w:id="30"/>
    </w:p>
    <w:p w14:paraId="72DC3ACE">
      <w:pPr>
        <w:spacing w:line="400" w:lineRule="exact"/>
        <w:ind w:firstLine="0" w:firstLineChars="0"/>
        <w:jc w:val="left"/>
        <w:rPr>
          <w:szCs w:val="21"/>
        </w:rPr>
      </w:pPr>
      <w:r>
        <w:rPr>
          <w:szCs w:val="21"/>
        </w:rPr>
        <w:t>1、任务来源</w:t>
      </w:r>
    </w:p>
    <w:p w14:paraId="65392617">
      <w:pPr>
        <w:spacing w:line="400" w:lineRule="exact"/>
        <w:ind w:firstLine="420"/>
        <w:jc w:val="left"/>
        <w:rPr>
          <w:sz w:val="21"/>
          <w:szCs w:val="21"/>
        </w:rPr>
      </w:pPr>
      <w:r>
        <w:rPr>
          <w:sz w:val="21"/>
          <w:szCs w:val="21"/>
        </w:rPr>
        <w:t>批文编号：</w:t>
      </w:r>
      <w:r>
        <w:rPr>
          <w:rFonts w:hint="eastAsia"/>
          <w:sz w:val="21"/>
          <w:szCs w:val="21"/>
          <w:lang w:val="en-US" w:eastAsia="zh-CN"/>
        </w:rPr>
        <w:t>中摩商函</w:t>
      </w:r>
      <w:r>
        <w:rPr>
          <w:sz w:val="21"/>
          <w:szCs w:val="21"/>
        </w:rPr>
        <w:t>【202</w:t>
      </w:r>
      <w:r>
        <w:rPr>
          <w:rFonts w:hint="eastAsia"/>
          <w:sz w:val="21"/>
          <w:szCs w:val="21"/>
          <w:lang w:val="en-US" w:eastAsia="zh-CN"/>
        </w:rPr>
        <w:t>4</w:t>
      </w:r>
      <w:r>
        <w:rPr>
          <w:sz w:val="21"/>
          <w:szCs w:val="21"/>
        </w:rPr>
        <w:t>】</w:t>
      </w:r>
      <w:r>
        <w:rPr>
          <w:rFonts w:hint="eastAsia"/>
          <w:sz w:val="21"/>
          <w:szCs w:val="21"/>
          <w:lang w:val="en-US" w:eastAsia="zh-CN"/>
        </w:rPr>
        <w:t>34</w:t>
      </w:r>
      <w:r>
        <w:rPr>
          <w:sz w:val="21"/>
          <w:szCs w:val="21"/>
        </w:rPr>
        <w:t>号</w:t>
      </w:r>
    </w:p>
    <w:p w14:paraId="2BA975DA">
      <w:pPr>
        <w:spacing w:line="400" w:lineRule="exact"/>
        <w:ind w:firstLine="420"/>
        <w:jc w:val="left"/>
        <w:rPr>
          <w:rFonts w:hint="default"/>
          <w:sz w:val="21"/>
          <w:szCs w:val="21"/>
          <w:lang w:val="en-US" w:eastAsia="zh-CN"/>
        </w:rPr>
      </w:pPr>
      <w:r>
        <w:rPr>
          <w:sz w:val="21"/>
          <w:szCs w:val="21"/>
        </w:rPr>
        <w:t>项目计划号：202</w:t>
      </w:r>
      <w:r>
        <w:rPr>
          <w:rFonts w:hint="eastAsia"/>
          <w:sz w:val="21"/>
          <w:szCs w:val="21"/>
          <w:lang w:val="en-US" w:eastAsia="zh-CN"/>
        </w:rPr>
        <w:t>4-6</w:t>
      </w:r>
    </w:p>
    <w:p w14:paraId="198C4C55">
      <w:pPr>
        <w:spacing w:line="400" w:lineRule="exact"/>
        <w:ind w:firstLine="420"/>
        <w:jc w:val="left"/>
        <w:rPr>
          <w:sz w:val="21"/>
          <w:szCs w:val="21"/>
        </w:rPr>
      </w:pPr>
      <w:r>
        <w:rPr>
          <w:sz w:val="21"/>
          <w:szCs w:val="21"/>
        </w:rPr>
        <w:t>计划名称：</w:t>
      </w:r>
      <w:r>
        <w:rPr>
          <w:rFonts w:ascii="Segoe UI" w:hAnsi="Segoe UI" w:eastAsia="Segoe UI" w:cs="Segoe UI"/>
          <w:i w:val="0"/>
          <w:iCs w:val="0"/>
          <w:caps w:val="0"/>
          <w:color w:val="0F1115"/>
          <w:spacing w:val="0"/>
          <w:sz w:val="21"/>
          <w:szCs w:val="21"/>
          <w:shd w:val="clear" w:fill="FFFFFF"/>
        </w:rPr>
        <w:t>电动摩托车和电动轻便摩托车再生制动系统要求及试验方法</w:t>
      </w:r>
    </w:p>
    <w:p w14:paraId="76946125">
      <w:pPr>
        <w:spacing w:line="400" w:lineRule="exact"/>
        <w:ind w:firstLine="420"/>
        <w:jc w:val="left"/>
        <w:rPr>
          <w:sz w:val="21"/>
          <w:szCs w:val="21"/>
        </w:rPr>
      </w:pPr>
      <w:r>
        <w:rPr>
          <w:sz w:val="21"/>
          <w:szCs w:val="21"/>
        </w:rPr>
        <w:t>标准性质：</w:t>
      </w:r>
      <w:r>
        <w:rPr>
          <w:rFonts w:hint="eastAsia"/>
          <w:sz w:val="21"/>
          <w:szCs w:val="21"/>
          <w:lang w:val="en-US" w:eastAsia="zh-CN"/>
        </w:rPr>
        <w:t>团体</w:t>
      </w:r>
      <w:r>
        <w:rPr>
          <w:sz w:val="21"/>
          <w:szCs w:val="21"/>
        </w:rPr>
        <w:t>标准</w:t>
      </w:r>
    </w:p>
    <w:p w14:paraId="792D4FB0">
      <w:pPr>
        <w:spacing w:line="400" w:lineRule="exact"/>
        <w:ind w:firstLine="420"/>
        <w:jc w:val="left"/>
        <w:rPr>
          <w:rFonts w:hint="eastAsia"/>
          <w:sz w:val="21"/>
          <w:szCs w:val="21"/>
          <w:lang w:val="en-US" w:eastAsia="zh-CN"/>
        </w:rPr>
      </w:pPr>
      <w:r>
        <w:rPr>
          <w:sz w:val="21"/>
          <w:szCs w:val="21"/>
        </w:rPr>
        <w:t>计划起草单位：招商局检测车辆技术研究院有限公司</w:t>
      </w:r>
      <w:r>
        <w:rPr>
          <w:rFonts w:hint="eastAsia"/>
          <w:sz w:val="21"/>
          <w:szCs w:val="21"/>
          <w:lang w:eastAsia="zh-CN"/>
        </w:rPr>
        <w:t>、</w:t>
      </w:r>
      <w:r>
        <w:rPr>
          <w:rFonts w:hint="default"/>
          <w:szCs w:val="21"/>
        </w:rPr>
        <w:t>上海机动车检测认证技术研究中心有限公司</w:t>
      </w:r>
      <w:r>
        <w:rPr>
          <w:rFonts w:hint="eastAsia"/>
          <w:szCs w:val="21"/>
          <w:lang w:eastAsia="zh-CN"/>
        </w:rPr>
        <w:t>、</w:t>
      </w:r>
      <w:r>
        <w:rPr>
          <w:rFonts w:hint="default"/>
          <w:szCs w:val="21"/>
        </w:rPr>
        <w:t>雅迪科技有限公司、爱玛车业科技有限公司、力帆科技（集团）股份有限公司、浙江春风动力股份有限公司</w:t>
      </w:r>
      <w:r>
        <w:rPr>
          <w:rFonts w:hint="eastAsia"/>
          <w:szCs w:val="21"/>
          <w:lang w:eastAsia="zh-CN"/>
        </w:rPr>
        <w:t>、</w:t>
      </w:r>
      <w:r>
        <w:rPr>
          <w:sz w:val="21"/>
          <w:szCs w:val="21"/>
        </w:rPr>
        <w:t>隆鑫通用动力股份有限公司</w:t>
      </w:r>
      <w:r>
        <w:rPr>
          <w:rFonts w:hint="eastAsia"/>
          <w:sz w:val="21"/>
          <w:szCs w:val="21"/>
          <w:lang w:val="en-US" w:eastAsia="zh-CN"/>
        </w:rPr>
        <w:t>、</w:t>
      </w:r>
      <w:r>
        <w:rPr>
          <w:sz w:val="21"/>
          <w:szCs w:val="21"/>
        </w:rPr>
        <w:t>台铃科技股份有限公司</w:t>
      </w:r>
      <w:r>
        <w:rPr>
          <w:rFonts w:hint="eastAsia"/>
          <w:sz w:val="21"/>
          <w:szCs w:val="21"/>
          <w:lang w:eastAsia="zh-CN"/>
        </w:rPr>
        <w:t>。</w:t>
      </w:r>
    </w:p>
    <w:p w14:paraId="06A66047">
      <w:pPr>
        <w:spacing w:line="400" w:lineRule="exact"/>
        <w:ind w:firstLine="420"/>
        <w:jc w:val="left"/>
        <w:rPr>
          <w:szCs w:val="21"/>
        </w:rPr>
      </w:pPr>
      <w:r>
        <w:rPr>
          <w:sz w:val="21"/>
          <w:szCs w:val="21"/>
        </w:rPr>
        <w:t>项目周期：1</w:t>
      </w:r>
      <w:r>
        <w:rPr>
          <w:rFonts w:hint="eastAsia"/>
          <w:sz w:val="21"/>
          <w:szCs w:val="21"/>
          <w:lang w:val="en-US" w:eastAsia="zh-CN"/>
        </w:rPr>
        <w:t>8</w:t>
      </w:r>
      <w:r>
        <w:rPr>
          <w:sz w:val="21"/>
          <w:szCs w:val="21"/>
        </w:rPr>
        <w:t xml:space="preserve">个月  </w:t>
      </w:r>
      <w:r>
        <w:rPr>
          <w:szCs w:val="21"/>
        </w:rPr>
        <w:t xml:space="preserve"> </w:t>
      </w:r>
    </w:p>
    <w:p w14:paraId="5C00DBF2">
      <w:pPr>
        <w:spacing w:line="400" w:lineRule="exact"/>
        <w:ind w:firstLine="0" w:firstLineChars="0"/>
        <w:jc w:val="left"/>
        <w:rPr>
          <w:szCs w:val="21"/>
        </w:rPr>
      </w:pPr>
      <w:r>
        <w:rPr>
          <w:szCs w:val="21"/>
        </w:rPr>
        <w:t>2</w:t>
      </w:r>
      <w:r>
        <w:rPr>
          <w:rFonts w:hint="eastAsia"/>
          <w:szCs w:val="21"/>
        </w:rPr>
        <w:t>、标准编制组成员及工作内容</w:t>
      </w:r>
    </w:p>
    <w:p w14:paraId="4ECDFCAD">
      <w:pPr>
        <w:spacing w:line="400" w:lineRule="exact"/>
        <w:ind w:firstLine="420"/>
        <w:rPr>
          <w:szCs w:val="21"/>
        </w:rPr>
      </w:pPr>
      <w:r>
        <w:rPr>
          <w:rFonts w:hint="default"/>
          <w:szCs w:val="21"/>
        </w:rPr>
        <w:t>自项目立项以来，招商局检测车辆技术研究院有限公司牵头，联合上海机动车检测认证技术研究中心有限公司等国家级检测机构，以及爱玛车业科技有限公司、力帆科技（集团）股份有限公司、浙江春风动力股份有限公司</w:t>
      </w:r>
      <w:r>
        <w:rPr>
          <w:rFonts w:hint="eastAsia"/>
          <w:szCs w:val="21"/>
          <w:lang w:eastAsia="zh-CN"/>
        </w:rPr>
        <w:t>、</w:t>
      </w:r>
      <w:r>
        <w:rPr>
          <w:sz w:val="21"/>
          <w:szCs w:val="21"/>
        </w:rPr>
        <w:t>隆鑫通用动力股份有限公司</w:t>
      </w:r>
      <w:r>
        <w:rPr>
          <w:rFonts w:hint="eastAsia"/>
          <w:sz w:val="21"/>
          <w:szCs w:val="21"/>
          <w:lang w:val="en-US" w:eastAsia="zh-CN"/>
        </w:rPr>
        <w:t>、</w:t>
      </w:r>
      <w:r>
        <w:rPr>
          <w:sz w:val="21"/>
          <w:szCs w:val="21"/>
        </w:rPr>
        <w:t>台铃科技股份有限公司</w:t>
      </w:r>
      <w:r>
        <w:rPr>
          <w:rFonts w:hint="default"/>
          <w:szCs w:val="21"/>
        </w:rPr>
        <w:t>等国内电动摩托车代表性生产企业，共同组成标准编制组。</w:t>
      </w:r>
    </w:p>
    <w:p w14:paraId="11C7D0D7">
      <w:pPr>
        <w:spacing w:line="400" w:lineRule="exact"/>
        <w:ind w:firstLine="420"/>
        <w:rPr>
          <w:rFonts w:hint="eastAsia"/>
        </w:rPr>
      </w:pPr>
      <w:r>
        <w:rPr>
          <w:rFonts w:hint="default"/>
          <w:szCs w:val="21"/>
        </w:rPr>
        <w:t>编制组通过系统开展国内外相关法规标准对比分析、关键技术研讨、试验方法设计与数据验证等工作，形成标准草案。针对国内电动摩托车和电动轻便摩托车再生制动系统标准空白的现状，编制组重点收集并分析了ISO 19466:2017、QC/T 1089-2017、GB/T 40711.4-2021等相关国内外标准，结合我国法规要求和行业实际，进行了技术内容的整合与创新。</w:t>
      </w:r>
    </w:p>
    <w:p w14:paraId="21BBD3EE">
      <w:pPr>
        <w:bidi w:val="0"/>
        <w:rPr>
          <w:rFonts w:hint="eastAsia"/>
        </w:rPr>
      </w:pPr>
      <w:r>
        <w:rPr>
          <w:rFonts w:hint="eastAsia"/>
        </w:rPr>
        <w:t>1.  前期调研与立项论证（2024年6月前）： 牵头单位组织对国内外再生制动系统技术现状、标准法规、市场应用及存在问题进行了全面调研。系统分析了ISO 19466:2017、QC/T 1089-2017等国内外先进标准的技术内容，评估其适用性与差异性。在此基础上，完成了《立项申请书》与《立项说明书》，明确了标准制定的必要性与可行性。</w:t>
      </w:r>
    </w:p>
    <w:p w14:paraId="19697E15">
      <w:pPr>
        <w:bidi w:val="0"/>
        <w:rPr>
          <w:rFonts w:hint="eastAsia"/>
        </w:rPr>
      </w:pPr>
      <w:r>
        <w:rPr>
          <w:rFonts w:hint="eastAsia"/>
        </w:rPr>
        <w:t>2.  工作组组建与草案初稿形成（2024年6月-</w:t>
      </w:r>
      <w:r>
        <w:rPr>
          <w:rFonts w:hint="eastAsia"/>
          <w:lang w:val="en-US" w:eastAsia="zh-CN"/>
        </w:rPr>
        <w:t>12</w:t>
      </w:r>
      <w:r>
        <w:rPr>
          <w:rFonts w:hint="eastAsia"/>
        </w:rPr>
        <w:t>月）：标准制定计划正式下达后，立即组建了包含所有参与单位的标准制定工作组。工作组在重庆组织召开了启动会暨第一次研讨会，明确了任务分工、工作计划和技术路线。各成员单位基于自身技术专长和产品经验，提交了技术建议和初始企业数据。牵头单位汇总各方意见，结合前期研究成果，起草了标准工作组草案（初稿）。</w:t>
      </w:r>
    </w:p>
    <w:p w14:paraId="11C2C2E4">
      <w:pPr>
        <w:bidi w:val="0"/>
        <w:rPr>
          <w:rFonts w:hint="eastAsia"/>
        </w:rPr>
      </w:pPr>
      <w:r>
        <w:rPr>
          <w:rFonts w:hint="eastAsia"/>
        </w:rPr>
        <w:t>3.  试验研究与数据验证（202</w:t>
      </w:r>
      <w:r>
        <w:rPr>
          <w:rFonts w:hint="eastAsia"/>
          <w:lang w:val="en-US" w:eastAsia="zh-CN"/>
        </w:rPr>
        <w:t>5</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月）： 针对标准中的核心技术参数和试验方法，编制组开展了专项试验验证。招商局检测车辆技术研究院有限公司等机构重点进行了不同SOC状态下的制动安全性试验、不同工况下的能量回收效能试验（如ECE R40、WMTC循环），积累了关键数据（如制动变异系数、续驶里程贡献率、能量回收效率等），为技术要求的确定提供了科学依据。各整车企业也在内部对草案中的试验方法进行了初步验证。</w:t>
      </w:r>
    </w:p>
    <w:p w14:paraId="64EE602B">
      <w:pPr>
        <w:bidi w:val="0"/>
        <w:rPr>
          <w:rFonts w:hint="eastAsia"/>
        </w:rPr>
      </w:pPr>
      <w:r>
        <w:rPr>
          <w:rFonts w:hint="eastAsia"/>
        </w:rPr>
        <w:t>4.  技术研讨与草案完善（202</w:t>
      </w:r>
      <w:r>
        <w:rPr>
          <w:rFonts w:hint="eastAsia"/>
          <w:lang w:val="en-US" w:eastAsia="zh-CN"/>
        </w:rPr>
        <w:t>5</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月）： 工作组通过线上线下相结合的方式，组织了多次专题技术讨论会。会议重点围绕“制动性能与再生制动的协调性”、“效能评价指标体系的建立（续驶里程贡献率、能量消耗贡献率、能量回收效率）”、“功能安全要求的边界界定”以及“试验方法的可操作性与复现性”等关键技术问题进行了深入研讨。根据讨论结果和试验数据，对标准草案进行了多轮修改和优化，逐步形成共识。</w:t>
      </w:r>
    </w:p>
    <w:p w14:paraId="67586C14">
      <w:pPr>
        <w:bidi w:val="0"/>
        <w:rPr>
          <w:szCs w:val="21"/>
        </w:rPr>
      </w:pPr>
      <w:r>
        <w:rPr>
          <w:rFonts w:hint="eastAsia"/>
        </w:rPr>
        <w:t>5.  征求意见稿形成（2025年1</w:t>
      </w:r>
      <w:r>
        <w:rPr>
          <w:rFonts w:hint="eastAsia"/>
          <w:lang w:val="en-US" w:eastAsia="zh-CN"/>
        </w:rPr>
        <w:t>0</w:t>
      </w:r>
      <w:r>
        <w:rPr>
          <w:rFonts w:hint="eastAsia"/>
        </w:rPr>
        <w:t>月-</w:t>
      </w:r>
      <w:r>
        <w:rPr>
          <w:rFonts w:hint="eastAsia"/>
          <w:lang w:val="en-US" w:eastAsia="zh-CN"/>
        </w:rPr>
        <w:t>11</w:t>
      </w:r>
      <w:r>
        <w:rPr>
          <w:rFonts w:hint="eastAsia"/>
        </w:rPr>
        <w:t>月）： 在工作组内部达成基本一致的基础上，牵头单位对标准文本和编制说明进行了最后的统稿和精炼。最终，于2025年</w:t>
      </w:r>
      <w:r>
        <w:rPr>
          <w:rFonts w:hint="eastAsia"/>
          <w:lang w:val="en-US" w:eastAsia="zh-CN"/>
        </w:rPr>
        <w:t>11</w:t>
      </w:r>
      <w:r>
        <w:rPr>
          <w:rFonts w:hint="eastAsia"/>
        </w:rPr>
        <w:t>月完成了《电动摩托车和电动轻便摩托车再生制动系统要求及试验方法（征求意见稿）》及本编制说明，并提交审查。</w:t>
      </w:r>
    </w:p>
    <w:p w14:paraId="5EE0741C">
      <w:pPr>
        <w:numPr>
          <w:ilvl w:val="0"/>
          <w:numId w:val="2"/>
        </w:numPr>
        <w:autoSpaceDE w:val="0"/>
        <w:autoSpaceDN w:val="0"/>
        <w:adjustRightInd w:val="0"/>
        <w:spacing w:before="156" w:beforeLines="50" w:after="156" w:afterLines="50" w:line="400" w:lineRule="exact"/>
        <w:ind w:left="567" w:hanging="567" w:firstLineChars="0"/>
        <w:jc w:val="left"/>
        <w:outlineLvl w:val="0"/>
        <w:rPr>
          <w:rFonts w:eastAsia="黑体"/>
          <w:bCs/>
          <w:color w:val="000000"/>
          <w:kern w:val="0"/>
          <w:sz w:val="24"/>
        </w:rPr>
      </w:pPr>
      <w:bookmarkStart w:id="32" w:name="_Toc1225"/>
      <w:bookmarkStart w:id="33" w:name="_Toc9499"/>
      <w:r>
        <w:rPr>
          <w:rFonts w:hint="eastAsia" w:eastAsia="黑体"/>
          <w:bCs/>
          <w:color w:val="000000"/>
          <w:kern w:val="0"/>
          <w:sz w:val="24"/>
          <w:lang w:val="en-US" w:eastAsia="zh-CN"/>
        </w:rPr>
        <w:t>团体</w:t>
      </w:r>
      <w:r>
        <w:rPr>
          <w:rFonts w:eastAsia="黑体"/>
          <w:bCs/>
          <w:color w:val="000000"/>
          <w:kern w:val="0"/>
          <w:sz w:val="24"/>
        </w:rPr>
        <w:t>标准编制原则和确定</w:t>
      </w:r>
      <w:r>
        <w:rPr>
          <w:rFonts w:hint="eastAsia" w:eastAsia="黑体"/>
          <w:bCs/>
          <w:color w:val="000000"/>
          <w:kern w:val="0"/>
          <w:sz w:val="24"/>
          <w:lang w:val="en-US" w:eastAsia="zh-CN"/>
        </w:rPr>
        <w:t>团体</w:t>
      </w:r>
      <w:r>
        <w:rPr>
          <w:rFonts w:eastAsia="黑体"/>
          <w:bCs/>
          <w:color w:val="000000"/>
          <w:kern w:val="0"/>
          <w:sz w:val="24"/>
        </w:rPr>
        <w:t>标准主要内容</w:t>
      </w:r>
      <w:bookmarkEnd w:id="32"/>
      <w:r>
        <w:rPr>
          <w:rFonts w:eastAsia="黑体"/>
          <w:bCs/>
          <w:color w:val="000000"/>
          <w:kern w:val="0"/>
          <w:sz w:val="24"/>
        </w:rPr>
        <w:t>的依据</w:t>
      </w:r>
      <w:bookmarkEnd w:id="33"/>
    </w:p>
    <w:p w14:paraId="66DFAF18">
      <w:pPr>
        <w:spacing w:line="400" w:lineRule="exact"/>
        <w:ind w:firstLine="0" w:firstLineChars="0"/>
      </w:pPr>
      <w:bookmarkStart w:id="34" w:name="_Toc36212248"/>
      <w:bookmarkStart w:id="35" w:name="_Toc6444"/>
      <w:r>
        <w:t>1、标准编制原则</w:t>
      </w:r>
    </w:p>
    <w:p w14:paraId="6AFF4637">
      <w:pPr>
        <w:spacing w:line="400" w:lineRule="exact"/>
        <w:ind w:firstLine="420"/>
        <w:jc w:val="left"/>
      </w:pPr>
      <w:r>
        <w:t>据行业调研成果，结合行业技术现状和需求确定本标准修订的基本原则和方向，立足于我国</w:t>
      </w:r>
      <w:r>
        <w:rPr>
          <w:rFonts w:ascii="Segoe UI" w:hAnsi="Segoe UI" w:eastAsia="Segoe UI" w:cs="Segoe UI"/>
          <w:i w:val="0"/>
          <w:iCs w:val="0"/>
          <w:caps w:val="0"/>
          <w:color w:val="0F1115"/>
          <w:spacing w:val="0"/>
          <w:sz w:val="21"/>
          <w:szCs w:val="21"/>
          <w:shd w:val="clear" w:fill="FFFFFF"/>
        </w:rPr>
        <w:t>电动摩托车和电动轻便摩托车再生制动系统</w:t>
      </w:r>
      <w:r>
        <w:t>性能验证</w:t>
      </w:r>
      <w:r>
        <w:rPr>
          <w:rFonts w:hint="eastAsia"/>
        </w:rPr>
        <w:t>，</w:t>
      </w:r>
      <w:r>
        <w:t>规范统一</w:t>
      </w:r>
      <w:r>
        <w:rPr>
          <w:rFonts w:ascii="Segoe UI" w:hAnsi="Segoe UI" w:eastAsia="Segoe UI" w:cs="Segoe UI"/>
          <w:i w:val="0"/>
          <w:iCs w:val="0"/>
          <w:caps w:val="0"/>
          <w:color w:val="0F1115"/>
          <w:spacing w:val="0"/>
          <w:sz w:val="21"/>
          <w:szCs w:val="21"/>
          <w:shd w:val="clear" w:fill="FFFFFF"/>
        </w:rPr>
        <w:t>电动摩托车和电动轻便摩托车再生制动系统</w:t>
      </w:r>
      <w:r>
        <w:rPr>
          <w:rFonts w:hint="eastAsia"/>
          <w:lang w:val="en-US" w:eastAsia="zh-CN"/>
        </w:rPr>
        <w:t>技术要求和</w:t>
      </w:r>
      <w:r>
        <w:t>试验方法，提高电动摩托车和电动轻便摩托车的安全性，</w:t>
      </w:r>
      <w:r>
        <w:rPr>
          <w:rFonts w:hint="eastAsia"/>
          <w:lang w:val="en-US" w:eastAsia="zh-CN"/>
        </w:rPr>
        <w:t>并降低车辆能量消耗率</w:t>
      </w:r>
      <w:r>
        <w:t>。</w:t>
      </w:r>
    </w:p>
    <w:p w14:paraId="0D48EE00">
      <w:pPr>
        <w:spacing w:line="400" w:lineRule="exact"/>
        <w:ind w:firstLine="0" w:firstLineChars="0"/>
      </w:pPr>
      <w:r>
        <w:t>1.1满足行业需求</w:t>
      </w:r>
    </w:p>
    <w:p w14:paraId="35525AFF">
      <w:pPr>
        <w:bidi w:val="0"/>
      </w:pPr>
      <w:r>
        <w:t>在国家"双碳"战略背景下，电动摩托车产业快速发展，再生制动系统作为提升续驶里程、降低能量消耗的关键技术，已在行业内得到广泛应用。然而，由于缺乏统一的标准规范，各企业对再生制动系统的性能定义不一，试验方法各异，导致测试结果缺乏可比性，产品性能宣传混乱，不利于行业健康发展。同时，再生制动系统涉及车辆制动安全、电池管理及电机控制等关键系统，缺乏安全约束可能引发制动性能突变、电池过充等安全隐患。本标准的制定将有效解决上述问题，为行业提供统一的技术规范和评价依据。</w:t>
      </w:r>
    </w:p>
    <w:p w14:paraId="2C51260A">
      <w:pPr>
        <w:spacing w:line="400" w:lineRule="exact"/>
        <w:ind w:firstLine="0" w:firstLineChars="0"/>
      </w:pPr>
      <w:r>
        <w:t>1.2标准可行性</w:t>
      </w:r>
    </w:p>
    <w:p w14:paraId="1D80A9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0F1115"/>
          <w:spacing w:val="0"/>
          <w:sz w:val="21"/>
          <w:szCs w:val="21"/>
          <w:shd w:val="clear" w:fill="FFFFFF"/>
        </w:rPr>
      </w:pPr>
      <w:r>
        <w:rPr>
          <w:rFonts w:hint="eastAsia" w:ascii="宋体" w:hAnsi="宋体" w:eastAsia="宋体" w:cs="宋体"/>
          <w:i w:val="0"/>
          <w:iCs w:val="0"/>
          <w:caps w:val="0"/>
          <w:color w:val="0F1115"/>
          <w:spacing w:val="0"/>
          <w:sz w:val="21"/>
          <w:szCs w:val="21"/>
          <w:shd w:val="clear" w:fill="FFFFFF"/>
        </w:rPr>
        <w:t>编制组在标准制定过程中，充分调研了国内主流电动摩托车生产企业、再生制动系统供应商及权威检测机构。通过收集企业现行的技术规范、试验数据和产品研发经验，确保了标准技术要求的先进性与适用性。标准中提出的试验方法，如附录A和附录B规定的制动安全性与能量回收效能测试，充分考虑了国内检测机构的设备能力与企业研发验证的可实施性，保证了方法的可操作性和复现性。性能指标的设定基于大量前期试验数据和行业平均水平，既不过高增加企业成本，又能有效引导技术进步。</w:t>
      </w:r>
    </w:p>
    <w:p w14:paraId="72FC1BC2">
      <w:pPr>
        <w:spacing w:line="400" w:lineRule="exact"/>
        <w:ind w:firstLine="0" w:firstLineChars="0"/>
        <w:rPr>
          <w:rFonts w:ascii="Times New Roman" w:hAnsi="Times New Roman" w:eastAsia="宋体"/>
        </w:rPr>
      </w:pPr>
      <w:r>
        <w:rPr>
          <w:rFonts w:ascii="Times New Roman" w:hAnsi="Times New Roman" w:eastAsia="宋体"/>
        </w:rPr>
        <w:t>1.3编写规范性</w:t>
      </w:r>
    </w:p>
    <w:p w14:paraId="09854195">
      <w:pPr>
        <w:spacing w:line="400" w:lineRule="exact"/>
        <w:ind w:firstLine="420"/>
      </w:pPr>
      <w:r>
        <w:t>本标准为</w:t>
      </w:r>
      <w:r>
        <w:rPr>
          <w:rFonts w:hint="eastAsia"/>
          <w:lang w:val="en-US" w:eastAsia="zh-CN"/>
        </w:rPr>
        <w:t>团体</w:t>
      </w:r>
      <w:r>
        <w:t>标准，严格执行</w:t>
      </w:r>
      <w:r>
        <w:rPr>
          <w:rFonts w:hint="eastAsia"/>
          <w:lang w:val="en-US" w:eastAsia="zh-CN"/>
        </w:rPr>
        <w:t>团体</w:t>
      </w:r>
      <w:r>
        <w:t>标准的各项要求，按照 GB/T 1.1-2020《标准化工作导则 第 1部分: 标准文件的结构和起</w:t>
      </w:r>
      <w:r>
        <w:rPr>
          <w:rFonts w:hint="eastAsia"/>
          <w:lang w:val="en-US" w:eastAsia="zh-CN"/>
        </w:rPr>
        <w:t>草</w:t>
      </w:r>
      <w:r>
        <w:t>规则》等有关规定进行编写。</w:t>
      </w:r>
    </w:p>
    <w:p w14:paraId="77ADDD8A">
      <w:pPr>
        <w:spacing w:line="400" w:lineRule="exact"/>
        <w:ind w:firstLine="0" w:firstLineChars="0"/>
      </w:pPr>
      <w:r>
        <w:t>2、标准</w:t>
      </w:r>
      <w:r>
        <w:rPr>
          <w:rFonts w:hint="eastAsia"/>
          <w:lang w:val="en-US" w:eastAsia="zh-CN"/>
        </w:rPr>
        <w:t>编制</w:t>
      </w:r>
      <w:r>
        <w:t>主要内容</w:t>
      </w:r>
    </w:p>
    <w:p w14:paraId="0DBC6233">
      <w:pPr>
        <w:spacing w:line="400" w:lineRule="exact"/>
        <w:ind w:firstLine="0" w:firstLineChars="0"/>
        <w:rPr>
          <w:rFonts w:hint="default" w:eastAsia="宋体"/>
          <w:lang w:val="en-US" w:eastAsia="zh-CN"/>
        </w:rPr>
      </w:pPr>
      <w:bookmarkStart w:id="36" w:name="_Hlk139895157"/>
      <w:r>
        <w:t>2.1</w:t>
      </w:r>
      <w:r>
        <w:rPr>
          <w:rFonts w:hint="eastAsia"/>
          <w:lang w:val="en-US" w:eastAsia="zh-CN"/>
        </w:rPr>
        <w:t>标准主要技术内容</w:t>
      </w:r>
    </w:p>
    <w:p w14:paraId="5B012B9A">
      <w:pPr>
        <w:bidi w:val="0"/>
      </w:pPr>
      <w:r>
        <w:t>本标准正文共分为5章，并包含2个规范性附录，系统性地规定了装配再生制动系统的电动摩托车和电动轻便摩托车的技术要求和试验方法。</w:t>
      </w:r>
    </w:p>
    <w:p w14:paraId="0795AA7E">
      <w:pPr>
        <w:bidi w:val="0"/>
        <w:rPr>
          <w:rFonts w:hint="default" w:eastAsia="宋体"/>
          <w:lang w:val="en-US" w:eastAsia="zh-CN"/>
        </w:rPr>
      </w:pPr>
      <w:r>
        <w:rPr>
          <w:rFonts w:hint="eastAsia"/>
          <w:lang w:val="en-US" w:eastAsia="zh-CN"/>
        </w:rPr>
        <w:t>要求和试验方法包括：制动性能、</w:t>
      </w:r>
      <w:r>
        <w:rPr>
          <w:rFonts w:hint="eastAsia"/>
        </w:rPr>
        <w:t>再生制动系统回收效能</w:t>
      </w:r>
      <w:r>
        <w:rPr>
          <w:rFonts w:hint="eastAsia"/>
          <w:lang w:eastAsia="zh-CN"/>
        </w:rPr>
        <w:t>、</w:t>
      </w:r>
      <w:r>
        <w:rPr>
          <w:rFonts w:hint="eastAsia"/>
        </w:rPr>
        <w:t>功能安全性</w:t>
      </w:r>
      <w:r>
        <w:rPr>
          <w:rFonts w:hint="eastAsia"/>
          <w:lang w:eastAsia="zh-CN"/>
        </w:rPr>
        <w:t>、</w:t>
      </w:r>
      <w:r>
        <w:t>摩托车再生制动系统制动安全的试验方法</w:t>
      </w:r>
      <w:r>
        <w:rPr>
          <w:rFonts w:hint="eastAsia"/>
          <w:lang w:eastAsia="zh-CN"/>
        </w:rPr>
        <w:t>、</w:t>
      </w:r>
      <w:r>
        <w:t>摩托车再生制动系统能量回收效能试验方法</w:t>
      </w:r>
      <w:r>
        <w:rPr>
          <w:rFonts w:hint="eastAsia"/>
          <w:lang w:eastAsia="zh-CN"/>
        </w:rPr>
        <w:t>。</w:t>
      </w:r>
    </w:p>
    <w:p w14:paraId="61DB5603">
      <w:pPr>
        <w:spacing w:line="400" w:lineRule="exact"/>
        <w:ind w:left="0" w:leftChars="0" w:firstLine="0" w:firstLineChars="0"/>
      </w:pPr>
      <w:r>
        <w:rPr>
          <w:rFonts w:hint="eastAsia"/>
          <w:lang w:val="en-US" w:eastAsia="zh-CN"/>
        </w:rPr>
        <w:t>3.</w:t>
      </w:r>
      <w:r>
        <w:rPr>
          <w:rFonts w:hint="eastAsia"/>
        </w:rPr>
        <w:t>标准主要内容的论据</w:t>
      </w:r>
    </w:p>
    <w:p w14:paraId="558E9F0F">
      <w:pPr>
        <w:bidi w:val="0"/>
      </w:pPr>
      <w:r>
        <w:rPr>
          <w:rFonts w:hint="default"/>
        </w:rPr>
        <w:t>本标准技术内容的确定基于以下主要论据：</w:t>
      </w:r>
    </w:p>
    <w:p w14:paraId="20E360F0">
      <w:pPr>
        <w:bidi w:val="0"/>
      </w:pPr>
      <w:r>
        <w:rPr>
          <w:rFonts w:hint="default"/>
        </w:rPr>
        <w:t>安全优先原则： 将制动性能的稳定性和功能安全放在首位，是基于再生制动系统直接影响车辆主动安全的基本属性。参考汽车行业经验并结合摩托车特点，设定CV≤15%的量化要求，是经过多次试验验证后确定的，能有效区分系统性能优劣且具备工程可实现性。</w:t>
      </w:r>
    </w:p>
    <w:p w14:paraId="4F979F30">
      <w:pPr>
        <w:bidi w:val="0"/>
      </w:pPr>
      <w:r>
        <w:rPr>
          <w:rFonts w:hint="default"/>
        </w:rPr>
        <w:t>效能评价的全面性： 选取续驶里程贡献率、能量消耗贡献率和能量回收效率三个指标，能够从不同角度全面、客观地反映再生制动系统的综合能效。该体系综合借鉴了ISO 19466:2017和国际汽车领域的实践，并针对中国市场的消费者关注点（如续驶里程）进行了强化。</w:t>
      </w:r>
    </w:p>
    <w:p w14:paraId="5CCBC6E7">
      <w:pPr>
        <w:bidi w:val="0"/>
        <w:rPr>
          <w:rFonts w:hint="default"/>
          <w:lang w:val="en-US" w:eastAsia="zh-CN"/>
        </w:rPr>
      </w:pPr>
      <w:r>
        <w:rPr>
          <w:rFonts w:hint="default"/>
        </w:rPr>
        <w:t>技术要求适用性： 标准内容既考虑了当前行业主流技术水平（如对效能指标不设统一下限），又通过引入先进评价方法和安全理念，引导企业不断提升产品性能和质量，为未来技术发展预留了空间。</w:t>
      </w:r>
    </w:p>
    <w:bookmarkEnd w:id="36"/>
    <w:p w14:paraId="2CC11189">
      <w:pPr>
        <w:numPr>
          <w:ilvl w:val="0"/>
          <w:numId w:val="2"/>
        </w:numPr>
        <w:autoSpaceDE w:val="0"/>
        <w:autoSpaceDN w:val="0"/>
        <w:adjustRightInd w:val="0"/>
        <w:spacing w:before="156" w:beforeLines="50" w:after="156" w:afterLines="50" w:line="400" w:lineRule="exact"/>
        <w:ind w:left="567" w:hanging="567" w:firstLineChars="0"/>
        <w:jc w:val="left"/>
        <w:outlineLvl w:val="0"/>
        <w:rPr>
          <w:rFonts w:eastAsia="黑体"/>
          <w:bCs/>
          <w:color w:val="000000"/>
          <w:kern w:val="0"/>
          <w:sz w:val="24"/>
        </w:rPr>
      </w:pPr>
      <w:bookmarkStart w:id="37" w:name="_Toc28954"/>
      <w:r>
        <w:rPr>
          <w:rFonts w:eastAsia="黑体"/>
          <w:bCs/>
          <w:color w:val="000000"/>
          <w:kern w:val="0"/>
          <w:sz w:val="24"/>
        </w:rPr>
        <w:t>主要试验（或验证）情况分析</w:t>
      </w:r>
      <w:bookmarkEnd w:id="34"/>
      <w:bookmarkEnd w:id="35"/>
      <w:bookmarkEnd w:id="37"/>
    </w:p>
    <w:p w14:paraId="7DB38F97">
      <w:pPr>
        <w:bidi w:val="0"/>
      </w:pPr>
      <w:r>
        <w:t>牵头单位招商局检测车辆技术研究院有限公司联合多家参与企业，针对标准草案中的核心技术要求，设计了详尽的试验方案。试验覆盖了主流电动摩托车和电动轻便摩托车车型，重点包括：</w:t>
      </w:r>
    </w:p>
    <w:p w14:paraId="1A529550">
      <w:pPr>
        <w:bidi w:val="0"/>
      </w:pPr>
      <w:r>
        <w:rPr>
          <w:rFonts w:hint="eastAsia"/>
          <w:lang w:val="en-US" w:eastAsia="zh-CN"/>
        </w:rPr>
        <w:t>1、</w:t>
      </w:r>
      <w:r>
        <w:t>在不同初始SOC（&gt;95%，66%，33%）条件下，严格按照附录A的方法进行多次制动测试，采集制动距离数据，计算不同车型的平均减速度及其变异系数（CV）。试验结果表明，CV值是量化评价再生制动系统对制动性能影响的有效参数。将限值设定为15%，既能有效筛选出性能不达标、存在潜在安全风险的产品，又为技术优化留出了合理空间，且所有参与验证的主流企业产品经优化后均能达到此要求。</w:t>
      </w:r>
    </w:p>
    <w:p w14:paraId="3ED1966A">
      <w:pPr>
        <w:bidi w:val="0"/>
      </w:pPr>
      <w:r>
        <w:rPr>
          <w:rFonts w:hint="eastAsia"/>
          <w:lang w:val="en-US" w:eastAsia="zh-CN"/>
        </w:rPr>
        <w:t>2、</w:t>
      </w:r>
      <w:r>
        <w:t>在ECE R40和WMTC等典型工况下，对多款车型进行了开启与关闭再生制动功能的对比测试。数据结果表明，不同车型的续驶里程贡献率在5%~9%之间，能量回收效率在28%~43%之间，印证了标准所设评价指标能有效区分不同产品的性能水平。</w:t>
      </w:r>
    </w:p>
    <w:p w14:paraId="172DECA1">
      <w:pPr>
        <w:bidi w:val="0"/>
        <w:rPr>
          <w:rFonts w:hint="eastAsia"/>
          <w:lang w:val="en-US" w:eastAsia="zh-CN"/>
        </w:rPr>
      </w:pPr>
      <w:r>
        <w:rPr>
          <w:rFonts w:hint="eastAsia"/>
          <w:lang w:val="en-US" w:eastAsia="zh-CN"/>
        </w:rPr>
        <w:t>3、进行了再生制动系统电气部件振动试验。验证发现：绝大多数符合摩托车电子部件通用设计规范的产品，能够顺利通过试验，无结构损坏或紧固件松动。试验后立即进行功能测试，所有合格样品工作正常，绝缘电阻值符合GB 24155要求。</w:t>
      </w:r>
    </w:p>
    <w:p w14:paraId="00E7BCE2">
      <w:pPr>
        <w:bidi w:val="0"/>
      </w:pPr>
      <w:r>
        <w:rPr>
          <w:rFonts w:hint="eastAsia"/>
          <w:lang w:val="en-US" w:eastAsia="zh-CN"/>
        </w:rPr>
        <w:t>4、进行了再生制动系统电气部件机械冲击试验。验证发现：绝大多数符合摩托车电子部件能够顺利通过机械冲击试验。试验后立即进行绝缘电阻测试，所有合格样品工作正常，绝缘电阻值符合GB 24155要求。</w:t>
      </w:r>
      <w:r>
        <w:br w:type="textWrapping"/>
      </w:r>
      <w:r>
        <w:t xml:space="preserve">    </w:t>
      </w:r>
      <w:r>
        <w:rPr>
          <w:rFonts w:hint="eastAsia"/>
        </w:rPr>
        <w:t>编制组</w:t>
      </w:r>
      <w:r>
        <w:t>通过充分考虑各企业实际情况，总结、提炼形成的试验方法和性能要求，进一步完善了</w:t>
      </w:r>
      <w:r>
        <w:rPr>
          <w:rFonts w:ascii="Segoe UI" w:hAnsi="Segoe UI" w:eastAsia="Segoe UI" w:cs="Segoe UI"/>
          <w:i w:val="0"/>
          <w:iCs w:val="0"/>
          <w:caps w:val="0"/>
          <w:color w:val="0F1115"/>
          <w:spacing w:val="0"/>
          <w:szCs w:val="21"/>
          <w:shd w:val="clear" w:fill="FFFFFF"/>
        </w:rPr>
        <w:t>电动摩托车和电动轻便摩托车再生制动系统要求及试验方法</w:t>
      </w:r>
      <w:r>
        <w:t>，使其能够更好地支撑企业产品开发，对企业和检测机构开展</w:t>
      </w:r>
      <w:r>
        <w:rPr>
          <w:rFonts w:ascii="Segoe UI" w:hAnsi="Segoe UI" w:eastAsia="Segoe UI" w:cs="Segoe UI"/>
          <w:i w:val="0"/>
          <w:iCs w:val="0"/>
          <w:caps w:val="0"/>
          <w:color w:val="0F1115"/>
          <w:spacing w:val="0"/>
          <w:szCs w:val="21"/>
          <w:shd w:val="clear" w:fill="FFFFFF"/>
        </w:rPr>
        <w:t>电动摩托车和电动轻便摩托车再生制动系统</w:t>
      </w:r>
      <w:r>
        <w:t xml:space="preserve">试验相关工作给予一定程度的指导。 </w:t>
      </w:r>
    </w:p>
    <w:p w14:paraId="44F95B17">
      <w:pPr>
        <w:numPr>
          <w:ilvl w:val="0"/>
          <w:numId w:val="2"/>
        </w:numPr>
        <w:autoSpaceDE w:val="0"/>
        <w:autoSpaceDN w:val="0"/>
        <w:adjustRightInd w:val="0"/>
        <w:spacing w:before="156" w:beforeLines="50" w:after="156" w:afterLines="50" w:line="400" w:lineRule="exact"/>
        <w:ind w:left="567" w:hanging="567" w:firstLineChars="0"/>
        <w:jc w:val="left"/>
        <w:outlineLvl w:val="0"/>
        <w:rPr>
          <w:rFonts w:eastAsia="黑体"/>
          <w:bCs/>
          <w:color w:val="000000"/>
          <w:kern w:val="0"/>
          <w:sz w:val="24"/>
        </w:rPr>
      </w:pPr>
      <w:bookmarkStart w:id="38" w:name="_Toc28331"/>
      <w:bookmarkEnd w:id="38"/>
      <w:bookmarkStart w:id="39" w:name="_Toc18913"/>
      <w:bookmarkEnd w:id="39"/>
      <w:bookmarkStart w:id="40" w:name="_Toc15565"/>
      <w:bookmarkEnd w:id="40"/>
      <w:bookmarkStart w:id="41" w:name="_Toc36212249"/>
      <w:bookmarkEnd w:id="41"/>
      <w:bookmarkStart w:id="42" w:name="_Toc3160"/>
      <w:bookmarkStart w:id="43" w:name="_Toc9657"/>
      <w:bookmarkStart w:id="44" w:name="_Toc36212254"/>
      <w:bookmarkStart w:id="45" w:name="_Toc11243"/>
      <w:r>
        <w:rPr>
          <w:rFonts w:eastAsia="黑体"/>
          <w:bCs/>
          <w:color w:val="000000"/>
          <w:kern w:val="0"/>
          <w:sz w:val="24"/>
        </w:rPr>
        <w:t>标准中涉及专利的情况</w:t>
      </w:r>
      <w:bookmarkEnd w:id="42"/>
      <w:bookmarkEnd w:id="43"/>
      <w:bookmarkEnd w:id="44"/>
      <w:bookmarkEnd w:id="45"/>
    </w:p>
    <w:p w14:paraId="0DC61910">
      <w:pPr>
        <w:spacing w:line="400" w:lineRule="exact"/>
        <w:ind w:firstLine="420"/>
        <w:jc w:val="left"/>
        <w:rPr>
          <w:szCs w:val="21"/>
        </w:rPr>
      </w:pPr>
      <w:bookmarkStart w:id="46" w:name="_Toc22509"/>
      <w:bookmarkStart w:id="47" w:name="_Toc5274"/>
      <w:bookmarkStart w:id="48" w:name="_Toc36212255"/>
      <w:r>
        <w:rPr>
          <w:szCs w:val="21"/>
        </w:rPr>
        <w:t>本标准在</w:t>
      </w:r>
      <w:r>
        <w:rPr>
          <w:rFonts w:hint="eastAsia"/>
          <w:szCs w:val="21"/>
          <w:lang w:val="en-US" w:eastAsia="zh-CN"/>
        </w:rPr>
        <w:t>编制过程</w:t>
      </w:r>
      <w:r>
        <w:rPr>
          <w:szCs w:val="21"/>
        </w:rPr>
        <w:t>中不涉及专利。</w:t>
      </w:r>
    </w:p>
    <w:p w14:paraId="0C843A66">
      <w:pPr>
        <w:numPr>
          <w:ilvl w:val="0"/>
          <w:numId w:val="2"/>
        </w:numPr>
        <w:autoSpaceDE w:val="0"/>
        <w:autoSpaceDN w:val="0"/>
        <w:adjustRightInd w:val="0"/>
        <w:spacing w:before="156" w:beforeLines="50" w:after="156" w:afterLines="50" w:line="400" w:lineRule="exact"/>
        <w:ind w:left="567" w:hanging="567" w:firstLineChars="0"/>
        <w:jc w:val="left"/>
        <w:outlineLvl w:val="0"/>
        <w:rPr>
          <w:rFonts w:eastAsia="黑体"/>
          <w:bCs/>
          <w:color w:val="000000"/>
          <w:kern w:val="0"/>
          <w:sz w:val="24"/>
        </w:rPr>
      </w:pPr>
      <w:bookmarkStart w:id="49" w:name="_Toc15156"/>
      <w:r>
        <w:rPr>
          <w:rFonts w:eastAsia="黑体"/>
          <w:bCs/>
          <w:color w:val="000000"/>
          <w:kern w:val="0"/>
          <w:sz w:val="24"/>
        </w:rPr>
        <w:t>预期达到的社会效益等情况</w:t>
      </w:r>
      <w:bookmarkEnd w:id="46"/>
      <w:bookmarkEnd w:id="47"/>
      <w:bookmarkEnd w:id="48"/>
      <w:bookmarkEnd w:id="49"/>
    </w:p>
    <w:p w14:paraId="0C2EA37B">
      <w:pPr>
        <w:bidi w:val="0"/>
      </w:pPr>
      <w:r>
        <w:rPr>
          <w:rFonts w:hint="default"/>
        </w:rPr>
        <w:t>本标准的制定与实施，预期将在社会、经济、技术及行业治理等多个层面产生深远而积极的效益：</w:t>
      </w:r>
    </w:p>
    <w:p w14:paraId="5944C2AC">
      <w:pPr>
        <w:bidi w:val="0"/>
      </w:pPr>
      <w:r>
        <w:rPr>
          <w:rFonts w:hint="default"/>
        </w:rPr>
        <w:t>提升公共安全水平：通过规范再生制动系统的安全要求，特别是制动性能稳定性和功能安全，将有效降低因系统设计缺陷或性能不稳定导致的交通事故风险，保障驾乘人员及其他道路使用者的人身安全，减少社会财产损失。</w:t>
      </w:r>
    </w:p>
    <w:p w14:paraId="32BFB85C">
      <w:pPr>
        <w:bidi w:val="0"/>
      </w:pPr>
      <w:r>
        <w:rPr>
          <w:rFonts w:hint="default"/>
        </w:rPr>
        <w:t>促进产业技术进步与提质升级：为行业提供了明确的技术发展导向和统一的性能评价标尺。企业可以依据标准进行有针对性的研发和优化，推动再生制动系统核心技术（如电控策略、机电耦合）的突破，提升我国电动摩托车产品的整体技术含量、可靠性和市场竞争力，实现从"有"到"优"的转变。</w:t>
      </w:r>
    </w:p>
    <w:p w14:paraId="519F1A37">
      <w:pPr>
        <w:bidi w:val="0"/>
      </w:pPr>
      <w:r>
        <w:rPr>
          <w:rFonts w:hint="default"/>
        </w:rPr>
        <w:t>推动绿色低碳发展：再生制动系统的规范化与高效应用，将直接提升电动摩托车的能量利用效率，降低车辆能量消耗率，在同等电池容量下显著延长续驶里程。这不仅降低了用户的用车成本，更从消费端推动了交通运输领域的节能减排，为国家"双碳"战略目标的实现做出积极贡献。</w:t>
      </w:r>
    </w:p>
    <w:p w14:paraId="1597E645">
      <w:pPr>
        <w:bidi w:val="0"/>
      </w:pPr>
      <w:r>
        <w:rPr>
          <w:rFonts w:hint="default"/>
        </w:rPr>
        <w:t>规范市场秩序与保障消费者权益：有效治理当前市场上对再生制动功能性能宣传混乱、夸大甚至虚假的现象。为监管部门实施产品质量监督提供了权威的技术依据，同时为消费者提供了清晰、可靠的选购参考，保护其知情权和公平交易权，营造良性的市场竞争环境。</w:t>
      </w:r>
    </w:p>
    <w:p w14:paraId="333CE47C">
      <w:pPr>
        <w:bidi w:val="0"/>
      </w:pPr>
      <w:r>
        <w:rPr>
          <w:rFonts w:hint="default"/>
        </w:rPr>
        <w:t>完善标准体系与支撑行业管理：填补了</w:t>
      </w:r>
      <w:bookmarkStart w:id="78" w:name="_GoBack"/>
      <w:bookmarkEnd w:id="78"/>
      <w:r>
        <w:rPr>
          <w:rFonts w:hint="default"/>
        </w:rPr>
        <w:t>我国摩托车标准体系中在再生制动系统专项标准方面的空白，使得电动摩托车标准体系更加健全。为未来的产品认证、型式批准、行业准入等管理工作提供了关键的技术支撑，促进了行业治理能力的现代化。</w:t>
      </w:r>
    </w:p>
    <w:p w14:paraId="683796C8">
      <w:pPr>
        <w:numPr>
          <w:ilvl w:val="0"/>
          <w:numId w:val="2"/>
        </w:numPr>
        <w:autoSpaceDE w:val="0"/>
        <w:autoSpaceDN w:val="0"/>
        <w:adjustRightInd w:val="0"/>
        <w:spacing w:before="156" w:beforeLines="50" w:after="156" w:afterLines="50" w:line="400" w:lineRule="exact"/>
        <w:ind w:left="567" w:hanging="567" w:firstLineChars="0"/>
        <w:jc w:val="left"/>
        <w:outlineLvl w:val="0"/>
        <w:rPr>
          <w:rFonts w:eastAsia="黑体"/>
          <w:bCs/>
          <w:color w:val="000000"/>
          <w:kern w:val="0"/>
          <w:sz w:val="24"/>
        </w:rPr>
      </w:pPr>
      <w:bookmarkStart w:id="50" w:name="_Toc10541"/>
      <w:bookmarkStart w:id="51" w:name="_Toc36212256"/>
      <w:bookmarkStart w:id="52" w:name="_Toc6612"/>
      <w:bookmarkStart w:id="53" w:name="_Toc4148"/>
      <w:r>
        <w:rPr>
          <w:rFonts w:eastAsia="黑体"/>
          <w:bCs/>
          <w:color w:val="000000"/>
          <w:kern w:val="0"/>
          <w:sz w:val="24"/>
        </w:rPr>
        <w:t>采用国际标准和国外先进标准的情况</w:t>
      </w:r>
      <w:bookmarkEnd w:id="50"/>
      <w:bookmarkEnd w:id="51"/>
      <w:bookmarkEnd w:id="52"/>
      <w:bookmarkEnd w:id="53"/>
    </w:p>
    <w:p w14:paraId="2D1ABA28">
      <w:pPr>
        <w:bidi w:val="0"/>
        <w:rPr>
          <w:rFonts w:hint="default" w:ascii="Times New Roman" w:hAnsi="Times New Roman" w:eastAsia="宋体"/>
          <w:lang w:val="en-US" w:eastAsia="zh-CN"/>
        </w:rPr>
      </w:pPr>
      <w:r>
        <w:rPr>
          <w:rFonts w:hint="eastAsia"/>
          <w:lang w:val="en-US" w:eastAsia="zh-CN"/>
        </w:rPr>
        <w:t>当前国外涉及</w:t>
      </w:r>
      <w:r>
        <w:t>电动摩托车和电动轻便摩托车再生制动系统</w:t>
      </w:r>
      <w:r>
        <w:rPr>
          <w:rFonts w:hint="eastAsia"/>
          <w:lang w:val="en-US" w:eastAsia="zh-CN"/>
        </w:rPr>
        <w:t>标准规范主要有</w:t>
      </w:r>
      <w:r>
        <w:t>ISO 19466:2017《电动轻便摩托车和电动摩托车再生制动系统性能评估试验方法》</w:t>
      </w:r>
      <w:r>
        <w:rPr>
          <w:rFonts w:hint="eastAsia"/>
          <w:lang w:eastAsia="zh-CN"/>
        </w:rPr>
        <w:t>，</w:t>
      </w:r>
      <w:r>
        <w:rPr>
          <w:rFonts w:hint="eastAsia"/>
          <w:lang w:val="en-US" w:eastAsia="zh-CN"/>
        </w:rPr>
        <w:t>其中涉及到</w:t>
      </w:r>
      <w:r>
        <w:t>再生制动系统</w:t>
      </w:r>
      <w:r>
        <w:rPr>
          <w:rFonts w:hint="eastAsia"/>
          <w:lang w:val="en-US" w:eastAsia="zh-CN"/>
        </w:rPr>
        <w:t>的制动性能、回收效能、</w:t>
      </w:r>
      <w:r>
        <w:t>续驶里程贡献率</w:t>
      </w:r>
      <w:r>
        <w:rPr>
          <w:rFonts w:hint="eastAsia"/>
          <w:lang w:val="en-US" w:eastAsia="zh-CN"/>
        </w:rPr>
        <w:t>、</w:t>
      </w:r>
      <w:r>
        <w:t>能量</w:t>
      </w:r>
      <w:r>
        <w:rPr>
          <w:rFonts w:hint="eastAsia"/>
        </w:rPr>
        <w:t>消耗</w:t>
      </w:r>
      <w:r>
        <w:rPr>
          <w:rFonts w:hint="eastAsia"/>
          <w:lang w:val="en-US" w:eastAsia="zh-CN"/>
        </w:rPr>
        <w:t>贡献率进行整合和调整。</w:t>
      </w:r>
      <w:r>
        <w:rPr>
          <w:rFonts w:ascii="Times New Roman" w:hAnsi="Times New Roman" w:eastAsia="宋体"/>
        </w:rPr>
        <w:t>在性能评价方面，本标准在参考ISO 19466的基础上，结合国内行业实践和消费者关切，明确并强化了"续驶里程贡献率"这一直观指标，形成了三位一体的评价体系。在安全要求方面，创造性地提出了针对摩托车使用的"不同SOC下制动效能恒定性"要求及试验方法，这是对参考标准的重要补充和完善。</w:t>
      </w:r>
    </w:p>
    <w:p w14:paraId="5672BF54">
      <w:pPr>
        <w:numPr>
          <w:ilvl w:val="0"/>
          <w:numId w:val="2"/>
        </w:numPr>
        <w:autoSpaceDE w:val="0"/>
        <w:autoSpaceDN w:val="0"/>
        <w:adjustRightInd w:val="0"/>
        <w:spacing w:before="156" w:beforeLines="50" w:after="156" w:afterLines="50" w:line="400" w:lineRule="exact"/>
        <w:ind w:left="567" w:hanging="567" w:firstLineChars="0"/>
        <w:jc w:val="left"/>
        <w:outlineLvl w:val="0"/>
        <w:rPr>
          <w:rFonts w:eastAsia="黑体"/>
          <w:bCs/>
          <w:color w:val="000000"/>
          <w:kern w:val="0"/>
          <w:sz w:val="24"/>
        </w:rPr>
      </w:pPr>
      <w:bookmarkStart w:id="54" w:name="_Toc2189"/>
      <w:bookmarkStart w:id="55" w:name="_Toc10906"/>
      <w:bookmarkStart w:id="56" w:name="_Toc36212257"/>
      <w:bookmarkStart w:id="57" w:name="_Toc15027"/>
      <w:r>
        <w:rPr>
          <w:rFonts w:eastAsia="黑体"/>
          <w:bCs/>
          <w:color w:val="000000"/>
          <w:kern w:val="0"/>
          <w:sz w:val="24"/>
        </w:rPr>
        <w:t>与现行相关法律、法规、规章及相关标准的协调性</w:t>
      </w:r>
      <w:bookmarkEnd w:id="54"/>
      <w:bookmarkEnd w:id="55"/>
      <w:bookmarkEnd w:id="56"/>
      <w:bookmarkEnd w:id="57"/>
    </w:p>
    <w:p w14:paraId="087C95E1">
      <w:pPr>
        <w:spacing w:line="400" w:lineRule="exact"/>
        <w:ind w:firstLine="420"/>
      </w:pPr>
      <w:r>
        <w:t>本标准</w:t>
      </w:r>
      <w:r>
        <w:rPr>
          <w:rFonts w:hint="eastAsia"/>
          <w:lang w:val="en-US" w:eastAsia="zh-CN"/>
        </w:rPr>
        <w:t>补充了</w:t>
      </w:r>
      <w:r>
        <w:t>电动摩托车和电动轻便摩托车再生制动系统</w:t>
      </w:r>
      <w:r>
        <w:rPr>
          <w:rFonts w:hint="eastAsia"/>
          <w:lang w:val="en-US" w:eastAsia="zh-CN"/>
        </w:rPr>
        <w:t>相关标准体系，</w:t>
      </w:r>
      <w:r>
        <w:t>经分析，本标准与现行相关法律、法规、规章及相关标准无不协调之处，且贯彻了我国的有关法律、法规和强制性国家标准。</w:t>
      </w:r>
    </w:p>
    <w:p w14:paraId="51DB4208">
      <w:pPr>
        <w:numPr>
          <w:ilvl w:val="0"/>
          <w:numId w:val="2"/>
        </w:numPr>
        <w:autoSpaceDE w:val="0"/>
        <w:autoSpaceDN w:val="0"/>
        <w:adjustRightInd w:val="0"/>
        <w:spacing w:before="156" w:beforeLines="50" w:after="156" w:afterLines="50" w:line="400" w:lineRule="exact"/>
        <w:ind w:left="567" w:hanging="567" w:firstLineChars="0"/>
        <w:jc w:val="left"/>
        <w:outlineLvl w:val="0"/>
        <w:rPr>
          <w:rFonts w:eastAsia="黑体"/>
          <w:bCs/>
          <w:color w:val="000000"/>
          <w:kern w:val="0"/>
          <w:sz w:val="24"/>
        </w:rPr>
      </w:pPr>
      <w:bookmarkStart w:id="58" w:name="_Toc1058"/>
      <w:bookmarkStart w:id="59" w:name="_Toc36212258"/>
      <w:bookmarkStart w:id="60" w:name="_Toc32698"/>
      <w:bookmarkStart w:id="61" w:name="_Toc26498"/>
      <w:r>
        <w:rPr>
          <w:rFonts w:eastAsia="黑体"/>
          <w:bCs/>
          <w:color w:val="000000"/>
          <w:kern w:val="0"/>
          <w:sz w:val="24"/>
        </w:rPr>
        <w:t>重大分歧意见的处理经过和依据</w:t>
      </w:r>
      <w:bookmarkEnd w:id="58"/>
      <w:bookmarkEnd w:id="59"/>
      <w:bookmarkEnd w:id="60"/>
      <w:bookmarkEnd w:id="61"/>
    </w:p>
    <w:p w14:paraId="2BBC5BF0">
      <w:pPr>
        <w:spacing w:line="400" w:lineRule="exact"/>
        <w:ind w:firstLine="420"/>
        <w:jc w:val="left"/>
        <w:rPr>
          <w:rFonts w:eastAsia="黑体"/>
          <w:bCs/>
          <w:color w:val="000000"/>
          <w:kern w:val="0"/>
          <w:sz w:val="24"/>
        </w:rPr>
      </w:pPr>
      <w:r>
        <w:rPr>
          <w:szCs w:val="21"/>
        </w:rPr>
        <w:t>无</w:t>
      </w:r>
    </w:p>
    <w:p w14:paraId="5CEB1F53">
      <w:pPr>
        <w:numPr>
          <w:ilvl w:val="0"/>
          <w:numId w:val="2"/>
        </w:numPr>
        <w:autoSpaceDE w:val="0"/>
        <w:autoSpaceDN w:val="0"/>
        <w:adjustRightInd w:val="0"/>
        <w:spacing w:before="156" w:beforeLines="50" w:after="156" w:afterLines="50" w:line="400" w:lineRule="exact"/>
        <w:ind w:left="567" w:hanging="567" w:firstLineChars="0"/>
        <w:jc w:val="left"/>
        <w:outlineLvl w:val="0"/>
        <w:rPr>
          <w:rFonts w:eastAsia="黑体"/>
          <w:bCs/>
          <w:color w:val="000000"/>
          <w:kern w:val="0"/>
          <w:sz w:val="24"/>
        </w:rPr>
      </w:pPr>
      <w:bookmarkStart w:id="62" w:name="_Toc24586"/>
      <w:bookmarkStart w:id="63" w:name="_Toc9400"/>
      <w:bookmarkStart w:id="64" w:name="_Toc19214"/>
      <w:bookmarkStart w:id="65" w:name="_Toc36212259"/>
      <w:r>
        <w:rPr>
          <w:rFonts w:eastAsia="黑体"/>
          <w:bCs/>
          <w:color w:val="000000"/>
          <w:kern w:val="0"/>
          <w:sz w:val="24"/>
        </w:rPr>
        <w:t>标准性质的建议说明</w:t>
      </w:r>
      <w:bookmarkEnd w:id="62"/>
      <w:bookmarkEnd w:id="63"/>
      <w:bookmarkEnd w:id="64"/>
    </w:p>
    <w:p w14:paraId="7EE9A518">
      <w:pPr>
        <w:spacing w:line="400" w:lineRule="exact"/>
        <w:ind w:firstLine="420"/>
        <w:jc w:val="left"/>
        <w:rPr>
          <w:rFonts w:hint="eastAsia" w:eastAsia="宋体"/>
          <w:bCs/>
          <w:color w:val="000000"/>
          <w:kern w:val="0"/>
          <w:sz w:val="24"/>
          <w:lang w:eastAsia="zh-CN"/>
        </w:rPr>
      </w:pPr>
      <w:r>
        <w:rPr>
          <w:szCs w:val="21"/>
        </w:rPr>
        <w:t>本标准为</w:t>
      </w:r>
      <w:r>
        <w:rPr>
          <w:rFonts w:hint="eastAsia"/>
          <w:szCs w:val="21"/>
          <w:lang w:val="en-US" w:eastAsia="zh-CN"/>
        </w:rPr>
        <w:t>中国摩托车商会标准，属于团体</w:t>
      </w:r>
      <w:r>
        <w:rPr>
          <w:szCs w:val="21"/>
        </w:rPr>
        <w:t>标准</w:t>
      </w:r>
      <w:r>
        <w:rPr>
          <w:rFonts w:hint="eastAsia"/>
          <w:szCs w:val="21"/>
          <w:lang w:eastAsia="zh-CN"/>
        </w:rPr>
        <w:t>，</w:t>
      </w:r>
      <w:r>
        <w:rPr>
          <w:rFonts w:hint="eastAsia" w:ascii="宋体" w:hAnsi="宋体"/>
          <w:szCs w:val="21"/>
        </w:rPr>
        <w:t>供</w:t>
      </w:r>
      <w:r>
        <w:rPr>
          <w:rFonts w:hint="eastAsia" w:ascii="宋体" w:hAnsi="宋体"/>
          <w:szCs w:val="21"/>
          <w:lang w:val="en-US" w:eastAsia="zh-CN"/>
        </w:rPr>
        <w:t>商会成员</w:t>
      </w:r>
      <w:r>
        <w:rPr>
          <w:rFonts w:hint="eastAsia" w:ascii="宋体" w:hAnsi="宋体"/>
          <w:szCs w:val="21"/>
        </w:rPr>
        <w:t>和社会自愿使用</w:t>
      </w:r>
      <w:r>
        <w:rPr>
          <w:rFonts w:hint="eastAsia" w:ascii="宋体" w:hAnsi="宋体"/>
          <w:szCs w:val="21"/>
          <w:lang w:eastAsia="zh-CN"/>
        </w:rPr>
        <w:t>。</w:t>
      </w:r>
    </w:p>
    <w:p w14:paraId="4541389B">
      <w:pPr>
        <w:numPr>
          <w:ilvl w:val="0"/>
          <w:numId w:val="2"/>
        </w:numPr>
        <w:autoSpaceDE w:val="0"/>
        <w:autoSpaceDN w:val="0"/>
        <w:adjustRightInd w:val="0"/>
        <w:spacing w:before="156" w:beforeLines="50" w:after="156" w:afterLines="50" w:line="400" w:lineRule="exact"/>
        <w:ind w:left="567" w:hanging="567" w:firstLineChars="0"/>
        <w:jc w:val="left"/>
        <w:outlineLvl w:val="0"/>
        <w:rPr>
          <w:rFonts w:eastAsia="黑体"/>
          <w:bCs/>
          <w:color w:val="000000"/>
          <w:kern w:val="0"/>
          <w:sz w:val="24"/>
        </w:rPr>
      </w:pPr>
      <w:bookmarkStart w:id="66" w:name="_Toc1384"/>
      <w:bookmarkStart w:id="67" w:name="_Toc7264"/>
      <w:bookmarkStart w:id="68" w:name="_Toc22991"/>
      <w:r>
        <w:rPr>
          <w:rFonts w:eastAsia="黑体"/>
          <w:bCs/>
          <w:color w:val="000000"/>
          <w:kern w:val="0"/>
          <w:sz w:val="24"/>
        </w:rPr>
        <w:t>贯彻标准的要求和措施建议</w:t>
      </w:r>
      <w:bookmarkEnd w:id="65"/>
      <w:bookmarkEnd w:id="66"/>
      <w:bookmarkEnd w:id="67"/>
      <w:bookmarkEnd w:id="68"/>
    </w:p>
    <w:p w14:paraId="0B658536">
      <w:pPr>
        <w:spacing w:line="400" w:lineRule="exact"/>
        <w:ind w:firstLine="0" w:firstLineChars="0"/>
        <w:rPr>
          <w:rFonts w:hint="eastAsia" w:eastAsia="宋体"/>
          <w:lang w:val="en-US" w:eastAsia="zh-CN"/>
        </w:rPr>
      </w:pPr>
      <w:r>
        <w:rPr>
          <w:rFonts w:hint="eastAsia"/>
          <w:lang w:val="en-US" w:eastAsia="zh-CN"/>
        </w:rPr>
        <w:t>无</w:t>
      </w:r>
    </w:p>
    <w:p w14:paraId="5B8D225A">
      <w:pPr>
        <w:numPr>
          <w:ilvl w:val="0"/>
          <w:numId w:val="2"/>
        </w:numPr>
        <w:autoSpaceDE w:val="0"/>
        <w:autoSpaceDN w:val="0"/>
        <w:adjustRightInd w:val="0"/>
        <w:spacing w:before="156" w:beforeLines="50" w:after="156" w:afterLines="50" w:line="400" w:lineRule="exact"/>
        <w:ind w:left="567" w:hanging="567" w:firstLineChars="0"/>
        <w:jc w:val="left"/>
        <w:outlineLvl w:val="0"/>
        <w:rPr>
          <w:rFonts w:eastAsia="黑体"/>
          <w:bCs/>
          <w:color w:val="000000"/>
          <w:kern w:val="0"/>
          <w:sz w:val="24"/>
        </w:rPr>
      </w:pPr>
      <w:bookmarkStart w:id="69" w:name="_Toc36212260"/>
      <w:bookmarkStart w:id="70" w:name="_Toc26287"/>
      <w:bookmarkStart w:id="71" w:name="_Toc10451"/>
      <w:bookmarkStart w:id="72" w:name="_Toc19779"/>
      <w:r>
        <w:rPr>
          <w:rFonts w:eastAsia="黑体"/>
          <w:bCs/>
          <w:color w:val="000000"/>
          <w:kern w:val="0"/>
          <w:sz w:val="24"/>
        </w:rPr>
        <w:t>废止现行相关标准的建议</w:t>
      </w:r>
      <w:bookmarkEnd w:id="69"/>
      <w:bookmarkEnd w:id="70"/>
      <w:bookmarkEnd w:id="71"/>
      <w:bookmarkEnd w:id="72"/>
    </w:p>
    <w:p w14:paraId="3C51A5D1">
      <w:pPr>
        <w:numPr>
          <w:ilvl w:val="0"/>
          <w:numId w:val="0"/>
        </w:numPr>
        <w:autoSpaceDE w:val="0"/>
        <w:autoSpaceDN w:val="0"/>
        <w:adjustRightInd w:val="0"/>
        <w:spacing w:before="156" w:beforeLines="50" w:after="156" w:afterLines="50" w:line="400" w:lineRule="exact"/>
        <w:ind w:leftChars="0"/>
        <w:jc w:val="left"/>
        <w:outlineLvl w:val="0"/>
        <w:rPr>
          <w:rFonts w:hint="default" w:eastAsia="黑体"/>
          <w:bCs/>
          <w:color w:val="000000"/>
          <w:kern w:val="0"/>
          <w:sz w:val="24"/>
          <w:lang w:val="en-US" w:eastAsia="zh-CN"/>
        </w:rPr>
      </w:pPr>
      <w:r>
        <w:rPr>
          <w:rFonts w:hint="eastAsia" w:eastAsia="黑体"/>
          <w:bCs/>
          <w:color w:val="000000"/>
          <w:kern w:val="0"/>
          <w:sz w:val="24"/>
          <w:lang w:val="en-US" w:eastAsia="zh-CN"/>
        </w:rPr>
        <w:t xml:space="preserve">   </w:t>
      </w:r>
      <w:bookmarkStart w:id="73" w:name="_Toc20442"/>
      <w:r>
        <w:rPr>
          <w:rFonts w:hint="eastAsia" w:ascii="宋体" w:hAnsi="宋体" w:eastAsia="宋体" w:cs="宋体"/>
          <w:bCs/>
          <w:color w:val="000000"/>
          <w:kern w:val="0"/>
          <w:sz w:val="21"/>
          <w:szCs w:val="21"/>
          <w:lang w:val="en-US" w:eastAsia="zh-CN"/>
        </w:rPr>
        <w:t>无</w:t>
      </w:r>
      <w:bookmarkEnd w:id="73"/>
    </w:p>
    <w:p w14:paraId="07997D6C">
      <w:pPr>
        <w:numPr>
          <w:ilvl w:val="0"/>
          <w:numId w:val="2"/>
        </w:numPr>
        <w:autoSpaceDE w:val="0"/>
        <w:autoSpaceDN w:val="0"/>
        <w:adjustRightInd w:val="0"/>
        <w:spacing w:before="156" w:beforeLines="50" w:after="156" w:afterLines="50" w:line="400" w:lineRule="exact"/>
        <w:ind w:left="567" w:hanging="567" w:firstLineChars="0"/>
        <w:jc w:val="left"/>
        <w:outlineLvl w:val="0"/>
        <w:rPr>
          <w:rFonts w:eastAsia="黑体"/>
          <w:bCs/>
          <w:color w:val="000000"/>
          <w:kern w:val="0"/>
          <w:sz w:val="24"/>
        </w:rPr>
      </w:pPr>
      <w:bookmarkStart w:id="74" w:name="_Toc5027"/>
      <w:bookmarkStart w:id="75" w:name="_Toc6340"/>
      <w:bookmarkStart w:id="76" w:name="_Toc29570"/>
      <w:bookmarkStart w:id="77" w:name="_Toc36212261"/>
      <w:r>
        <w:rPr>
          <w:rFonts w:eastAsia="黑体"/>
          <w:bCs/>
          <w:color w:val="000000"/>
          <w:kern w:val="0"/>
          <w:sz w:val="24"/>
        </w:rPr>
        <w:t>其他应予说明的事项</w:t>
      </w:r>
      <w:bookmarkEnd w:id="74"/>
      <w:bookmarkEnd w:id="75"/>
      <w:bookmarkEnd w:id="76"/>
      <w:bookmarkEnd w:id="77"/>
    </w:p>
    <w:bookmarkEnd w:id="31"/>
    <w:p w14:paraId="01530887">
      <w:pPr>
        <w:spacing w:line="400" w:lineRule="exact"/>
        <w:ind w:firstLine="420"/>
        <w:rPr>
          <w:rFonts w:hint="default" w:ascii="宋体" w:hAnsi="宋体" w:cs="宋体"/>
          <w:lang w:val="en-US" w:eastAsia="zh-CN"/>
        </w:rPr>
      </w:pPr>
      <w:r>
        <w:rPr>
          <w:rFonts w:hint="eastAsia" w:ascii="宋体" w:hAnsi="宋体" w:cs="宋体"/>
          <w:lang w:val="en-US" w:eastAsia="zh-CN"/>
        </w:rPr>
        <w:t>无</w:t>
      </w:r>
    </w:p>
    <w:sectPr>
      <w:headerReference r:id="rId12" w:type="first"/>
      <w:footerReference r:id="rId14" w:type="first"/>
      <w:headerReference r:id="rId11" w:type="default"/>
      <w:footerReference r:id="rId13" w:type="default"/>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6084">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7EAA5">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F0C6B">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4266888"/>
    </w:sdtPr>
    <w:sdtContent>
      <w:p w14:paraId="2BC87AA6">
        <w:pPr>
          <w:pStyle w:val="3"/>
          <w:ind w:firstLine="360"/>
          <w:jc w:val="center"/>
        </w:pPr>
        <w:r>
          <w:fldChar w:fldCharType="begin"/>
        </w:r>
        <w:r>
          <w:instrText xml:space="preserve">PAGE   \* MERGEFORMAT</w:instrText>
        </w:r>
        <w:r>
          <w:fldChar w:fldCharType="separate"/>
        </w:r>
        <w:r>
          <w:rPr>
            <w:lang w:val="zh-CN"/>
          </w:rPr>
          <w:t>2</w:t>
        </w:r>
        <w:r>
          <w:fldChar w:fldCharType="end"/>
        </w:r>
      </w:p>
    </w:sdtContent>
  </w:sdt>
  <w:p w14:paraId="516B95F5">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4259378"/>
    </w:sdtPr>
    <w:sdtContent>
      <w:p w14:paraId="0F36105C">
        <w:pPr>
          <w:pStyle w:val="3"/>
          <w:ind w:firstLine="360"/>
          <w:jc w:val="center"/>
        </w:pPr>
        <w:r>
          <w:fldChar w:fldCharType="begin"/>
        </w:r>
        <w:r>
          <w:instrText xml:space="preserve">PAGE   \* MERGEFORMAT</w:instrText>
        </w:r>
        <w:r>
          <w:fldChar w:fldCharType="separate"/>
        </w:r>
        <w:r>
          <w:rPr>
            <w:lang w:val="zh-CN"/>
          </w:rPr>
          <w:t>2</w:t>
        </w:r>
        <w:r>
          <w:fldChar w:fldCharType="end"/>
        </w:r>
      </w:p>
    </w:sdtContent>
  </w:sdt>
  <w:p w14:paraId="03204297">
    <w:pPr>
      <w:pStyle w:val="3"/>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F76CC">
    <w:pPr>
      <w:pStyle w:val="4"/>
      <w:ind w:firstLine="360"/>
    </w:pPr>
    <w:r>
      <w:rPr>
        <w:rFonts w:hint="eastAsia"/>
      </w:rPr>
      <w:t>《</w:t>
    </w:r>
    <w:r>
      <w:t>电动摩托车和</w:t>
    </w:r>
    <w:r>
      <w:rPr>
        <w:rFonts w:hint="eastAsia"/>
      </w:rPr>
      <w:t>电动轻便</w:t>
    </w:r>
    <w:r>
      <w:t>摩托车再生制动系统</w:t>
    </w:r>
    <w:r>
      <w:rPr>
        <w:rFonts w:hint="eastAsia"/>
      </w:rPr>
      <w:t>要求及</w:t>
    </w:r>
    <w:r>
      <w:t>试验方法</w:t>
    </w:r>
    <w:r>
      <w:rPr>
        <w:rFonts w:hint="eastAsia"/>
      </w:rPr>
      <w:t>》（</w:t>
    </w:r>
    <w:r>
      <w:rPr>
        <w:rFonts w:hint="eastAsia"/>
        <w:lang w:val="en-US" w:eastAsia="zh-CN"/>
      </w:rPr>
      <w:t>征求意见</w:t>
    </w:r>
    <w:r>
      <w:rPr>
        <w:rFonts w:hint="eastAsia"/>
      </w:rPr>
      <w:t>稿）编制说明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9146A">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DCDA">
    <w:pPr>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105B">
    <w:pPr>
      <w:pStyle w:val="4"/>
      <w:ind w:firstLine="360"/>
    </w:pPr>
    <w:r>
      <w:rPr>
        <w:rFonts w:hint="eastAsia"/>
      </w:rPr>
      <w:t>《</w:t>
    </w:r>
    <w:r>
      <w:t>电动摩托车和</w:t>
    </w:r>
    <w:r>
      <w:rPr>
        <w:rFonts w:hint="eastAsia"/>
      </w:rPr>
      <w:t>电动轻便</w:t>
    </w:r>
    <w:r>
      <w:t>摩托车再生制动系统</w:t>
    </w:r>
    <w:r>
      <w:rPr>
        <w:rFonts w:hint="eastAsia"/>
      </w:rPr>
      <w:t>要求及</w:t>
    </w:r>
    <w:r>
      <w:t>试验方法</w:t>
    </w:r>
    <w:r>
      <w:rPr>
        <w:rFonts w:hint="eastAsia"/>
      </w:rPr>
      <w:t>》（</w:t>
    </w:r>
    <w:r>
      <w:rPr>
        <w:rFonts w:hint="eastAsia"/>
        <w:lang w:val="en-US" w:eastAsia="zh-CN"/>
      </w:rPr>
      <w:t>征求意见</w:t>
    </w:r>
    <w:r>
      <w:rPr>
        <w:rFonts w:hint="eastAsia"/>
      </w:rPr>
      <w:t>稿）编制说明</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38387">
    <w:pPr>
      <w:pStyle w:val="4"/>
      <w:ind w:firstLine="360"/>
    </w:pPr>
    <w:r>
      <w:rPr>
        <w:rFonts w:hint="eastAsia"/>
      </w:rPr>
      <w:t>《</w:t>
    </w:r>
    <w:r>
      <w:t>电动摩托车和</w:t>
    </w:r>
    <w:r>
      <w:rPr>
        <w:rFonts w:hint="eastAsia"/>
      </w:rPr>
      <w:t>电动轻便</w:t>
    </w:r>
    <w:r>
      <w:t>摩托车再生制动系统</w:t>
    </w:r>
    <w:r>
      <w:rPr>
        <w:rFonts w:hint="eastAsia"/>
      </w:rPr>
      <w:t>要求及</w:t>
    </w:r>
    <w:r>
      <w:t>试验方法</w:t>
    </w:r>
    <w:r>
      <w:rPr>
        <w:rFonts w:hint="eastAsia"/>
      </w:rPr>
      <w:t>》（</w:t>
    </w:r>
    <w:r>
      <w:rPr>
        <w:rFonts w:hint="eastAsia"/>
        <w:lang w:val="en-US" w:eastAsia="zh-CN"/>
      </w:rPr>
      <w:t>征求意见</w:t>
    </w:r>
    <w:r>
      <w:rPr>
        <w:rFonts w:hint="eastAsia"/>
      </w:rPr>
      <w:t>稿）编制说明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957A9"/>
    <w:multiLevelType w:val="multilevel"/>
    <w:tmpl w:val="28C957A9"/>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EA2025"/>
    <w:multiLevelType w:val="multilevel"/>
    <w:tmpl w:val="6CEA2025"/>
    <w:lvl w:ilvl="0" w:tentative="0">
      <w:start w:val="1"/>
      <w:numFmt w:val="none"/>
      <w:pStyle w:val="28"/>
      <w:suff w:val="nothing"/>
      <w:lvlText w:val="%1"/>
      <w:lvlJc w:val="left"/>
      <w:pPr>
        <w:ind w:left="0" w:firstLine="0"/>
      </w:pPr>
      <w:rPr>
        <w:rFonts w:hint="eastAsia"/>
      </w:rPr>
    </w:lvl>
    <w:lvl w:ilvl="1" w:tentative="0">
      <w:start w:val="1"/>
      <w:numFmt w:val="decimal"/>
      <w:pStyle w:val="26"/>
      <w:suff w:val="nothing"/>
      <w:lvlText w:val="%1%2　"/>
      <w:lvlJc w:val="left"/>
      <w:pPr>
        <w:ind w:left="0" w:firstLine="0"/>
      </w:pPr>
      <w:rPr>
        <w:rFonts w:hint="eastAsia" w:ascii="黑体" w:eastAsia="黑体"/>
        <w:b w:val="0"/>
        <w:i w:val="0"/>
        <w:sz w:val="21"/>
      </w:rPr>
    </w:lvl>
    <w:lvl w:ilvl="2" w:tentative="0">
      <w:start w:val="1"/>
      <w:numFmt w:val="decimal"/>
      <w:pStyle w:val="2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2"/>
      <w:suff w:val="nothing"/>
      <w:lvlText w:val="%1%2.%3.%4　"/>
      <w:lvlJc w:val="left"/>
      <w:pPr>
        <w:ind w:left="0" w:firstLine="0"/>
      </w:pPr>
      <w:rPr>
        <w:rFonts w:hint="eastAsia" w:ascii="黑体" w:eastAsia="黑体"/>
        <w:b w:val="0"/>
        <w:i w:val="0"/>
        <w:sz w:val="21"/>
      </w:rPr>
    </w:lvl>
    <w:lvl w:ilvl="4" w:tentative="0">
      <w:start w:val="1"/>
      <w:numFmt w:val="decimal"/>
      <w:pStyle w:val="23"/>
      <w:suff w:val="nothing"/>
      <w:lvlText w:val="%1%2.%3.%4.%5　"/>
      <w:lvlJc w:val="left"/>
      <w:pPr>
        <w:ind w:left="0" w:firstLine="0"/>
      </w:pPr>
      <w:rPr>
        <w:rFonts w:hint="eastAsia" w:ascii="黑体" w:eastAsia="黑体"/>
        <w:b w:val="0"/>
        <w:i w:val="0"/>
        <w:sz w:val="21"/>
      </w:rPr>
    </w:lvl>
    <w:lvl w:ilvl="5" w:tentative="0">
      <w:start w:val="1"/>
      <w:numFmt w:val="decimal"/>
      <w:pStyle w:val="24"/>
      <w:suff w:val="nothing"/>
      <w:lvlText w:val="%1%2.%3.%4.%5.%6　"/>
      <w:lvlJc w:val="left"/>
      <w:pPr>
        <w:ind w:left="0" w:firstLine="0"/>
      </w:pPr>
      <w:rPr>
        <w:rFonts w:hint="eastAsia" w:ascii="黑体" w:eastAsia="黑体"/>
        <w:b w:val="0"/>
        <w:i w:val="0"/>
        <w:sz w:val="21"/>
      </w:rPr>
    </w:lvl>
    <w:lvl w:ilvl="6" w:tentative="0">
      <w:start w:val="1"/>
      <w:numFmt w:val="decimal"/>
      <w:pStyle w:val="2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892845"/>
    <w:rsid w:val="00007FA2"/>
    <w:rsid w:val="000639F2"/>
    <w:rsid w:val="000C2595"/>
    <w:rsid w:val="000D703A"/>
    <w:rsid w:val="000E2ACA"/>
    <w:rsid w:val="001029CD"/>
    <w:rsid w:val="00127397"/>
    <w:rsid w:val="00167B0A"/>
    <w:rsid w:val="0017519D"/>
    <w:rsid w:val="001877F4"/>
    <w:rsid w:val="001A2F11"/>
    <w:rsid w:val="001B423D"/>
    <w:rsid w:val="00215E50"/>
    <w:rsid w:val="002245DB"/>
    <w:rsid w:val="00231E50"/>
    <w:rsid w:val="00245B6C"/>
    <w:rsid w:val="00260138"/>
    <w:rsid w:val="00280CC2"/>
    <w:rsid w:val="002B11D3"/>
    <w:rsid w:val="002D213A"/>
    <w:rsid w:val="002F2D31"/>
    <w:rsid w:val="00320C99"/>
    <w:rsid w:val="00334233"/>
    <w:rsid w:val="00383B72"/>
    <w:rsid w:val="003B789B"/>
    <w:rsid w:val="003C407F"/>
    <w:rsid w:val="003D704D"/>
    <w:rsid w:val="003E67B8"/>
    <w:rsid w:val="0042704C"/>
    <w:rsid w:val="00455AB9"/>
    <w:rsid w:val="004603C7"/>
    <w:rsid w:val="00491213"/>
    <w:rsid w:val="004B4A79"/>
    <w:rsid w:val="005055DA"/>
    <w:rsid w:val="00561B0C"/>
    <w:rsid w:val="005866FA"/>
    <w:rsid w:val="005B19DC"/>
    <w:rsid w:val="005B49BF"/>
    <w:rsid w:val="005D0F2E"/>
    <w:rsid w:val="005D5E23"/>
    <w:rsid w:val="005E0154"/>
    <w:rsid w:val="005E5508"/>
    <w:rsid w:val="005F1ACA"/>
    <w:rsid w:val="005F373D"/>
    <w:rsid w:val="005F3AFA"/>
    <w:rsid w:val="006155E1"/>
    <w:rsid w:val="00617E32"/>
    <w:rsid w:val="0068575E"/>
    <w:rsid w:val="006A679D"/>
    <w:rsid w:val="006D45FE"/>
    <w:rsid w:val="006E3C5F"/>
    <w:rsid w:val="00705B04"/>
    <w:rsid w:val="007113D3"/>
    <w:rsid w:val="0075408A"/>
    <w:rsid w:val="00755200"/>
    <w:rsid w:val="007732B5"/>
    <w:rsid w:val="00775134"/>
    <w:rsid w:val="00776C0C"/>
    <w:rsid w:val="00793C17"/>
    <w:rsid w:val="007A1AF3"/>
    <w:rsid w:val="007C129F"/>
    <w:rsid w:val="007C1A9E"/>
    <w:rsid w:val="007C74F3"/>
    <w:rsid w:val="007F3B80"/>
    <w:rsid w:val="008045A0"/>
    <w:rsid w:val="00810947"/>
    <w:rsid w:val="008150AC"/>
    <w:rsid w:val="00820218"/>
    <w:rsid w:val="008218B4"/>
    <w:rsid w:val="00841A6D"/>
    <w:rsid w:val="00845030"/>
    <w:rsid w:val="00853936"/>
    <w:rsid w:val="008625C8"/>
    <w:rsid w:val="00862D0C"/>
    <w:rsid w:val="00863DEB"/>
    <w:rsid w:val="008748F4"/>
    <w:rsid w:val="00892845"/>
    <w:rsid w:val="008C09FD"/>
    <w:rsid w:val="008C6BF1"/>
    <w:rsid w:val="008D125C"/>
    <w:rsid w:val="008E12FC"/>
    <w:rsid w:val="008E4F7C"/>
    <w:rsid w:val="009155AA"/>
    <w:rsid w:val="00917825"/>
    <w:rsid w:val="00936F8C"/>
    <w:rsid w:val="00945A8E"/>
    <w:rsid w:val="00945B03"/>
    <w:rsid w:val="0095309D"/>
    <w:rsid w:val="009535F8"/>
    <w:rsid w:val="009656D2"/>
    <w:rsid w:val="00984FDB"/>
    <w:rsid w:val="009C1452"/>
    <w:rsid w:val="00A35378"/>
    <w:rsid w:val="00A62468"/>
    <w:rsid w:val="00A8656F"/>
    <w:rsid w:val="00AB5517"/>
    <w:rsid w:val="00B1292A"/>
    <w:rsid w:val="00B8634E"/>
    <w:rsid w:val="00BD0B38"/>
    <w:rsid w:val="00C05376"/>
    <w:rsid w:val="00C15BA0"/>
    <w:rsid w:val="00C20F4F"/>
    <w:rsid w:val="00C6179D"/>
    <w:rsid w:val="00C65C8B"/>
    <w:rsid w:val="00CB2BCB"/>
    <w:rsid w:val="00CB44F6"/>
    <w:rsid w:val="00CE5549"/>
    <w:rsid w:val="00CE713A"/>
    <w:rsid w:val="00CF6310"/>
    <w:rsid w:val="00D1578C"/>
    <w:rsid w:val="00D2752D"/>
    <w:rsid w:val="00D44BA1"/>
    <w:rsid w:val="00D65427"/>
    <w:rsid w:val="00D9132F"/>
    <w:rsid w:val="00DC0790"/>
    <w:rsid w:val="00DC5AB8"/>
    <w:rsid w:val="00DD4C1A"/>
    <w:rsid w:val="00DE7E65"/>
    <w:rsid w:val="00E6146E"/>
    <w:rsid w:val="00E85E86"/>
    <w:rsid w:val="00EA147F"/>
    <w:rsid w:val="00EB3970"/>
    <w:rsid w:val="00EC2AF4"/>
    <w:rsid w:val="00ED5E3E"/>
    <w:rsid w:val="00EF600F"/>
    <w:rsid w:val="00F717C1"/>
    <w:rsid w:val="00F81F2F"/>
    <w:rsid w:val="00FC37FE"/>
    <w:rsid w:val="00FD7F1C"/>
    <w:rsid w:val="011D0194"/>
    <w:rsid w:val="0132754D"/>
    <w:rsid w:val="01935784"/>
    <w:rsid w:val="01FC47B4"/>
    <w:rsid w:val="03BB0352"/>
    <w:rsid w:val="042A3F09"/>
    <w:rsid w:val="056B4B16"/>
    <w:rsid w:val="056D375A"/>
    <w:rsid w:val="05BE1B29"/>
    <w:rsid w:val="05DC1451"/>
    <w:rsid w:val="0644507D"/>
    <w:rsid w:val="07457630"/>
    <w:rsid w:val="076A70A1"/>
    <w:rsid w:val="07976995"/>
    <w:rsid w:val="07AE4C0F"/>
    <w:rsid w:val="09010A62"/>
    <w:rsid w:val="09835762"/>
    <w:rsid w:val="0A524056"/>
    <w:rsid w:val="0AD3384D"/>
    <w:rsid w:val="0BBF246A"/>
    <w:rsid w:val="0D0C43CC"/>
    <w:rsid w:val="0E336252"/>
    <w:rsid w:val="0F16079E"/>
    <w:rsid w:val="115E7E27"/>
    <w:rsid w:val="134B1222"/>
    <w:rsid w:val="1399374C"/>
    <w:rsid w:val="13B36FAE"/>
    <w:rsid w:val="14072974"/>
    <w:rsid w:val="143363D6"/>
    <w:rsid w:val="146D064A"/>
    <w:rsid w:val="14910418"/>
    <w:rsid w:val="14EC5C87"/>
    <w:rsid w:val="15293DCB"/>
    <w:rsid w:val="15C060D2"/>
    <w:rsid w:val="172F4AF3"/>
    <w:rsid w:val="185354FE"/>
    <w:rsid w:val="189C4E19"/>
    <w:rsid w:val="190406EA"/>
    <w:rsid w:val="1A785992"/>
    <w:rsid w:val="1AAB37CF"/>
    <w:rsid w:val="1BC054B2"/>
    <w:rsid w:val="1C0E73E3"/>
    <w:rsid w:val="1C5C13DA"/>
    <w:rsid w:val="1CA663C0"/>
    <w:rsid w:val="1CF32D33"/>
    <w:rsid w:val="1EEB13F9"/>
    <w:rsid w:val="1F8E1CB4"/>
    <w:rsid w:val="1FB65CCD"/>
    <w:rsid w:val="21BA2C5F"/>
    <w:rsid w:val="21C251FE"/>
    <w:rsid w:val="21F4671D"/>
    <w:rsid w:val="229869CE"/>
    <w:rsid w:val="23EF35A5"/>
    <w:rsid w:val="24A25436"/>
    <w:rsid w:val="24E8008F"/>
    <w:rsid w:val="26347330"/>
    <w:rsid w:val="280738D9"/>
    <w:rsid w:val="28AD5878"/>
    <w:rsid w:val="28C130D1"/>
    <w:rsid w:val="28F01B4A"/>
    <w:rsid w:val="295757E3"/>
    <w:rsid w:val="29D67AC0"/>
    <w:rsid w:val="29EE19D4"/>
    <w:rsid w:val="2A3D6116"/>
    <w:rsid w:val="2B303AD8"/>
    <w:rsid w:val="2BA6531A"/>
    <w:rsid w:val="2BD8384C"/>
    <w:rsid w:val="2C032D13"/>
    <w:rsid w:val="2DCC1BCF"/>
    <w:rsid w:val="2E7F19FE"/>
    <w:rsid w:val="2ECA3A82"/>
    <w:rsid w:val="2EE10029"/>
    <w:rsid w:val="2F5255B0"/>
    <w:rsid w:val="30622638"/>
    <w:rsid w:val="3095731D"/>
    <w:rsid w:val="317D03F5"/>
    <w:rsid w:val="319C204D"/>
    <w:rsid w:val="32215CC4"/>
    <w:rsid w:val="33542634"/>
    <w:rsid w:val="336F6CCD"/>
    <w:rsid w:val="33995E23"/>
    <w:rsid w:val="34141B99"/>
    <w:rsid w:val="348C2D38"/>
    <w:rsid w:val="348E6D50"/>
    <w:rsid w:val="34A74DF4"/>
    <w:rsid w:val="358050F9"/>
    <w:rsid w:val="35AA1AF6"/>
    <w:rsid w:val="35F7165A"/>
    <w:rsid w:val="368B33B9"/>
    <w:rsid w:val="394A036E"/>
    <w:rsid w:val="39F12A78"/>
    <w:rsid w:val="39F42601"/>
    <w:rsid w:val="3AA124BC"/>
    <w:rsid w:val="3AC67C94"/>
    <w:rsid w:val="3C8A121D"/>
    <w:rsid w:val="3D0C7481"/>
    <w:rsid w:val="3D39018C"/>
    <w:rsid w:val="3DB8304E"/>
    <w:rsid w:val="3DBF7BCB"/>
    <w:rsid w:val="3F625DA9"/>
    <w:rsid w:val="3F631ABF"/>
    <w:rsid w:val="3FAD28FF"/>
    <w:rsid w:val="3FDD5125"/>
    <w:rsid w:val="40183AC7"/>
    <w:rsid w:val="401F0324"/>
    <w:rsid w:val="403A3A3D"/>
    <w:rsid w:val="409D42E8"/>
    <w:rsid w:val="41452B70"/>
    <w:rsid w:val="43302CBF"/>
    <w:rsid w:val="43707776"/>
    <w:rsid w:val="438A6DA4"/>
    <w:rsid w:val="44713C49"/>
    <w:rsid w:val="4573782D"/>
    <w:rsid w:val="45D16F07"/>
    <w:rsid w:val="47C50090"/>
    <w:rsid w:val="47D827AB"/>
    <w:rsid w:val="48025FB2"/>
    <w:rsid w:val="48AF2AEE"/>
    <w:rsid w:val="48FA1FBB"/>
    <w:rsid w:val="4A1F1DC6"/>
    <w:rsid w:val="4A61726A"/>
    <w:rsid w:val="4AAC08E5"/>
    <w:rsid w:val="4CE13D39"/>
    <w:rsid w:val="4D7333EC"/>
    <w:rsid w:val="4D8929FB"/>
    <w:rsid w:val="4DAE0BF2"/>
    <w:rsid w:val="4DB00C67"/>
    <w:rsid w:val="4DCC7632"/>
    <w:rsid w:val="4E831CD6"/>
    <w:rsid w:val="4EB4763C"/>
    <w:rsid w:val="517C4350"/>
    <w:rsid w:val="526410F4"/>
    <w:rsid w:val="52855BEB"/>
    <w:rsid w:val="54434596"/>
    <w:rsid w:val="54A2083E"/>
    <w:rsid w:val="54B679A9"/>
    <w:rsid w:val="54B75204"/>
    <w:rsid w:val="54E65528"/>
    <w:rsid w:val="552547E5"/>
    <w:rsid w:val="55F93CD7"/>
    <w:rsid w:val="562F528E"/>
    <w:rsid w:val="565D6C48"/>
    <w:rsid w:val="566B27B9"/>
    <w:rsid w:val="56B00A41"/>
    <w:rsid w:val="575B7A9F"/>
    <w:rsid w:val="590D3EA1"/>
    <w:rsid w:val="5A1740EF"/>
    <w:rsid w:val="5A6E0A5B"/>
    <w:rsid w:val="5AF15170"/>
    <w:rsid w:val="5B7B35B0"/>
    <w:rsid w:val="5BFA5736"/>
    <w:rsid w:val="5C0A475A"/>
    <w:rsid w:val="5CEE0707"/>
    <w:rsid w:val="5D945817"/>
    <w:rsid w:val="5DC45291"/>
    <w:rsid w:val="5E7B72A3"/>
    <w:rsid w:val="5EFA2437"/>
    <w:rsid w:val="5F937E42"/>
    <w:rsid w:val="5FE90E48"/>
    <w:rsid w:val="605E6679"/>
    <w:rsid w:val="60702B4B"/>
    <w:rsid w:val="60EB0815"/>
    <w:rsid w:val="61C42406"/>
    <w:rsid w:val="63DB04DC"/>
    <w:rsid w:val="63F30725"/>
    <w:rsid w:val="63F87046"/>
    <w:rsid w:val="640B33F4"/>
    <w:rsid w:val="64EE7CFB"/>
    <w:rsid w:val="65130235"/>
    <w:rsid w:val="66E668F4"/>
    <w:rsid w:val="66F01C71"/>
    <w:rsid w:val="672D533D"/>
    <w:rsid w:val="67A015CF"/>
    <w:rsid w:val="69193B68"/>
    <w:rsid w:val="696461D8"/>
    <w:rsid w:val="6973756F"/>
    <w:rsid w:val="697700BA"/>
    <w:rsid w:val="6A4964A7"/>
    <w:rsid w:val="6A943BA0"/>
    <w:rsid w:val="6B1B790F"/>
    <w:rsid w:val="6B551ED4"/>
    <w:rsid w:val="6D5F4DF9"/>
    <w:rsid w:val="6D6C04D0"/>
    <w:rsid w:val="6E2F0AC8"/>
    <w:rsid w:val="6EC93359"/>
    <w:rsid w:val="6FA00508"/>
    <w:rsid w:val="6FE7030C"/>
    <w:rsid w:val="6FFB0243"/>
    <w:rsid w:val="70C312E9"/>
    <w:rsid w:val="71E7397C"/>
    <w:rsid w:val="72020A68"/>
    <w:rsid w:val="72237866"/>
    <w:rsid w:val="724A0A31"/>
    <w:rsid w:val="73045661"/>
    <w:rsid w:val="75C92AC7"/>
    <w:rsid w:val="763B6198"/>
    <w:rsid w:val="76AF4A5B"/>
    <w:rsid w:val="76DD077E"/>
    <w:rsid w:val="780700FC"/>
    <w:rsid w:val="781001B9"/>
    <w:rsid w:val="78657FD8"/>
    <w:rsid w:val="794C115D"/>
    <w:rsid w:val="796D37F8"/>
    <w:rsid w:val="79EC7CE8"/>
    <w:rsid w:val="7A20567B"/>
    <w:rsid w:val="7A3B6881"/>
    <w:rsid w:val="7C596F64"/>
    <w:rsid w:val="7C5A1FD9"/>
    <w:rsid w:val="7D036989"/>
    <w:rsid w:val="7D562B61"/>
    <w:rsid w:val="7DA30D3C"/>
    <w:rsid w:val="7DC06BAF"/>
    <w:rsid w:val="7F446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autoRedefine/>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style>
  <w:style w:type="paragraph" w:styleId="6">
    <w:name w:val="Normal (Web)"/>
    <w:basedOn w:val="1"/>
    <w:semiHidden/>
    <w:unhideWhenUsed/>
    <w:qFormat/>
    <w:uiPriority w:val="99"/>
    <w:rPr>
      <w:sz w:val="24"/>
    </w:rPr>
  </w:style>
  <w:style w:type="character" w:styleId="9">
    <w:name w:val="Strong"/>
    <w:basedOn w:val="8"/>
    <w:qFormat/>
    <w:uiPriority w:val="22"/>
    <w:rPr>
      <w:b/>
    </w:rPr>
  </w:style>
  <w:style w:type="character" w:styleId="10">
    <w:name w:val="Hyperlink"/>
    <w:basedOn w:val="8"/>
    <w:autoRedefine/>
    <w:unhideWhenUsed/>
    <w:qFormat/>
    <w:uiPriority w:val="99"/>
    <w:rPr>
      <w:color w:val="0563C1" w:themeColor="hyperlink"/>
      <w:u w:val="single"/>
      <w14:textFill>
        <w14:solidFill>
          <w14:schemeClr w14:val="hlink"/>
        </w14:solidFill>
      </w14:textFill>
    </w:rPr>
  </w:style>
  <w:style w:type="character" w:customStyle="1" w:styleId="11">
    <w:name w:val="页眉 字符"/>
    <w:basedOn w:val="8"/>
    <w:link w:val="4"/>
    <w:autoRedefine/>
    <w:qFormat/>
    <w:uiPriority w:val="99"/>
    <w:rPr>
      <w:sz w:val="18"/>
      <w:szCs w:val="18"/>
    </w:rPr>
  </w:style>
  <w:style w:type="character" w:customStyle="1" w:styleId="12">
    <w:name w:val="页脚 字符"/>
    <w:basedOn w:val="8"/>
    <w:link w:val="3"/>
    <w:qFormat/>
    <w:uiPriority w:val="99"/>
    <w:rPr>
      <w:sz w:val="18"/>
      <w:szCs w:val="18"/>
    </w:rPr>
  </w:style>
  <w:style w:type="paragraph" w:customStyle="1" w:styleId="1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标题 1 字符"/>
    <w:basedOn w:val="8"/>
    <w:link w:val="2"/>
    <w:autoRedefine/>
    <w:qFormat/>
    <w:uiPriority w:val="9"/>
    <w:rPr>
      <w:rFonts w:ascii="Times New Roman" w:hAnsi="Times New Roman" w:eastAsia="宋体" w:cs="Times New Roman"/>
      <w:b/>
      <w:bCs/>
      <w:kern w:val="44"/>
      <w:sz w:val="44"/>
      <w:szCs w:val="44"/>
    </w:rPr>
  </w:style>
  <w:style w:type="paragraph" w:customStyle="1" w:styleId="15">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6">
    <w:name w:val="Body text|1"/>
    <w:basedOn w:val="1"/>
    <w:autoRedefine/>
    <w:qFormat/>
    <w:uiPriority w:val="0"/>
    <w:pPr>
      <w:spacing w:line="348" w:lineRule="auto"/>
    </w:pPr>
    <w:rPr>
      <w:rFonts w:ascii="宋体" w:hAnsi="宋体" w:cs="宋体"/>
      <w:color w:val="635A5E"/>
      <w:sz w:val="19"/>
      <w:szCs w:val="19"/>
      <w:lang w:val="zh-TW" w:eastAsia="zh-TW" w:bidi="zh-TW"/>
    </w:rPr>
  </w:style>
  <w:style w:type="character" w:customStyle="1" w:styleId="17">
    <w:name w:val="fontstyle11"/>
    <w:basedOn w:val="8"/>
    <w:autoRedefine/>
    <w:qFormat/>
    <w:uiPriority w:val="0"/>
    <w:rPr>
      <w:rFonts w:ascii="TimesNewRomanPSMT" w:hAnsi="TimesNewRomanPSMT" w:eastAsia="TimesNewRomanPSMT" w:cs="TimesNewRomanPSMT"/>
      <w:color w:val="000000"/>
      <w:sz w:val="22"/>
      <w:szCs w:val="22"/>
    </w:rPr>
  </w:style>
  <w:style w:type="character" w:customStyle="1" w:styleId="18">
    <w:name w:val="fontstyle01"/>
    <w:basedOn w:val="8"/>
    <w:autoRedefine/>
    <w:qFormat/>
    <w:uiPriority w:val="0"/>
    <w:rPr>
      <w:rFonts w:ascii="宋体" w:hAnsi="宋体" w:eastAsia="宋体" w:cs="宋体"/>
      <w:color w:val="000000"/>
      <w:sz w:val="22"/>
      <w:szCs w:val="22"/>
    </w:rPr>
  </w:style>
  <w:style w:type="paragraph" w:styleId="19">
    <w:name w:val="List Paragraph"/>
    <w:basedOn w:val="1"/>
    <w:autoRedefine/>
    <w:unhideWhenUsed/>
    <w:qFormat/>
    <w:uiPriority w:val="99"/>
    <w:pPr>
      <w:ind w:firstLine="420"/>
    </w:pPr>
  </w:style>
  <w:style w:type="paragraph" w:customStyle="1" w:styleId="20">
    <w:name w:val="标准文件_段"/>
    <w:link w:val="2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
    <w:name w:val="标准文件_段 Char"/>
    <w:link w:val="20"/>
    <w:autoRedefine/>
    <w:qFormat/>
    <w:uiPriority w:val="0"/>
    <w:rPr>
      <w:rFonts w:ascii="宋体"/>
      <w:sz w:val="21"/>
    </w:rPr>
  </w:style>
  <w:style w:type="paragraph" w:customStyle="1" w:styleId="22">
    <w:name w:val="标准文件_二级条标题"/>
    <w:next w:val="20"/>
    <w:autoRedefine/>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3">
    <w:name w:val="标准文件_三级条标题"/>
    <w:basedOn w:val="22"/>
    <w:next w:val="20"/>
    <w:autoRedefine/>
    <w:qFormat/>
    <w:uiPriority w:val="0"/>
    <w:pPr>
      <w:widowControl/>
      <w:numPr>
        <w:ilvl w:val="4"/>
      </w:numPr>
      <w:outlineLvl w:val="3"/>
    </w:pPr>
  </w:style>
  <w:style w:type="paragraph" w:customStyle="1" w:styleId="24">
    <w:name w:val="标准文件_四级条标题"/>
    <w:next w:val="20"/>
    <w:autoRedefine/>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25">
    <w:name w:val="标准文件_五级条标题"/>
    <w:next w:val="20"/>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26">
    <w:name w:val="标准文件_章标题"/>
    <w:next w:val="20"/>
    <w:autoRedefine/>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7">
    <w:name w:val="标准文件_一级条标题"/>
    <w:basedOn w:val="26"/>
    <w:next w:val="20"/>
    <w:autoRedefine/>
    <w:qFormat/>
    <w:uiPriority w:val="0"/>
    <w:pPr>
      <w:numPr>
        <w:ilvl w:val="2"/>
      </w:numPr>
      <w:spacing w:before="50" w:beforeLines="50" w:after="50" w:afterLines="50"/>
      <w:outlineLvl w:val="1"/>
    </w:pPr>
  </w:style>
  <w:style w:type="paragraph" w:customStyle="1" w:styleId="28">
    <w:name w:val="前言标题"/>
    <w:next w:val="1"/>
    <w:autoRedefine/>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9">
    <w:name w:val="标准文件_四级无标题"/>
    <w:basedOn w:val="24"/>
    <w:autoRedefine/>
    <w:qFormat/>
    <w:uiPriority w:val="0"/>
    <w:pPr>
      <w:spacing w:before="0" w:beforeLines="0" w:after="0" w:afterLines="0"/>
      <w:outlineLvl w:val="9"/>
    </w:pPr>
    <w:rPr>
      <w:rFonts w:ascii="宋体" w:hAnsi="黑体" w:eastAsia="宋体"/>
      <w:szCs w:val="52"/>
    </w:rPr>
  </w:style>
  <w:style w:type="paragraph" w:customStyle="1" w:styleId="30">
    <w:name w:val="纯文本1"/>
    <w:basedOn w:val="1"/>
    <w:autoRedefine/>
    <w:qFormat/>
    <w:uiPriority w:val="0"/>
    <w:rPr>
      <w:rFonts w:ascii="宋体" w:hAnsi="Courier New" w:eastAsia="PMingLiU" w:cs="Courier New"/>
      <w:sz w:val="24"/>
      <w:szCs w:val="21"/>
      <w:lang w:eastAsia="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4228</Words>
  <Characters>4431</Characters>
  <Lines>60</Lines>
  <Paragraphs>16</Paragraphs>
  <TotalTime>7</TotalTime>
  <ScaleCrop>false</ScaleCrop>
  <LinksUpToDate>false</LinksUpToDate>
  <CharactersWithSpaces>4506</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2023-08-07T15:02:00Z</dcterms:created>
  <dc:creator>李云伟</dc:creator>
  <cp:lastModifiedBy>alee1213</cp:lastModifiedBy>
  <dcterms:modified xsi:type="dcterms:W3CDTF">2025-12-01T10:42:14Z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53C39ABF53C042C09FC4F5F306825784_13</vt:lpwstr>
  </property>
  <property fmtid="{D5CDD505-2E9C-101B-9397-08002B2CF9AE}" pid="4" name="_DocHome">
    <vt:i4>125291556</vt:i4>
  </property>
  <property fmtid="{D5CDD505-2E9C-101B-9397-08002B2CF9AE}" pid="5" name="KSOTemplateDocerSaveRecord">
    <vt:lpwstr>eyJoZGlkIjoiZTEyZWM1YWFmOWM0NWUyYjA5ODYxYTkwMzVlODgxNmYiLCJ1c2VySWQiOiIxMDA0NjE5NDMwIn0=</vt:lpwstr>
  </property>
</Properties>
</file>